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873CFF" w:rsidRDefault="00974F69" w:rsidP="004901BB">
      <w:pPr>
        <w:pStyle w:val="papertitle"/>
        <w:ind w:firstLine="426"/>
        <w:rPr>
          <w:rFonts w:eastAsia="MS Mincho"/>
        </w:rPr>
      </w:pPr>
      <w:r w:rsidRPr="00873CFF">
        <w:rPr>
          <w:rFonts w:eastAsia="MS Mincho"/>
          <w:b/>
          <w:bCs w:val="0"/>
          <w:i/>
          <w:iCs/>
        </w:rPr>
        <w:t>The Influence of K-13 Implementation and Teachers’ Understanding on Students’ Character</w:t>
      </w:r>
    </w:p>
    <w:p w:rsidR="008A55B5" w:rsidRPr="00873CFF" w:rsidRDefault="00974F69" w:rsidP="004901BB">
      <w:pPr>
        <w:pStyle w:val="papersubtitle"/>
        <w:ind w:firstLine="426"/>
        <w:rPr>
          <w:rFonts w:eastAsia="MS Mincho"/>
        </w:rPr>
      </w:pPr>
      <w:r w:rsidRPr="00873CFF">
        <w:rPr>
          <w:rFonts w:eastAsia="MS Mincho"/>
          <w:b/>
          <w:bCs w:val="0"/>
          <w:i/>
          <w:iCs/>
        </w:rPr>
        <w:t xml:space="preserve">A survey of Senior High School </w:t>
      </w:r>
      <w:r w:rsidR="00C55C77" w:rsidRPr="00873CFF">
        <w:rPr>
          <w:rFonts w:eastAsia="MS Mincho"/>
          <w:b/>
          <w:bCs w:val="0"/>
          <w:i/>
          <w:iCs/>
        </w:rPr>
        <w:t xml:space="preserve">Students </w:t>
      </w:r>
      <w:r w:rsidRPr="00873CFF">
        <w:rPr>
          <w:rFonts w:eastAsia="MS Mincho"/>
          <w:b/>
          <w:bCs w:val="0"/>
          <w:i/>
          <w:iCs/>
        </w:rPr>
        <w:t xml:space="preserve">and </w:t>
      </w:r>
      <w:r w:rsidR="00C55C77" w:rsidRPr="00873CFF">
        <w:rPr>
          <w:rFonts w:eastAsia="MS Mincho"/>
          <w:b/>
          <w:bCs w:val="0"/>
          <w:i/>
          <w:iCs/>
        </w:rPr>
        <w:t xml:space="preserve">Teachers </w:t>
      </w:r>
      <w:r w:rsidRPr="00873CFF">
        <w:rPr>
          <w:rFonts w:eastAsia="MS Mincho"/>
          <w:b/>
          <w:bCs w:val="0"/>
          <w:i/>
          <w:iCs/>
        </w:rPr>
        <w:t>in Aceh</w:t>
      </w:r>
    </w:p>
    <w:p w:rsidR="008A55B5" w:rsidRPr="00873CFF" w:rsidRDefault="008A55B5" w:rsidP="004901BB">
      <w:pPr>
        <w:ind w:firstLine="426"/>
        <w:rPr>
          <w:rFonts w:eastAsia="MS Mincho"/>
        </w:rPr>
      </w:pPr>
    </w:p>
    <w:p w:rsidR="008A55B5" w:rsidRPr="00873CFF" w:rsidRDefault="008A55B5" w:rsidP="004901BB">
      <w:pPr>
        <w:pStyle w:val="Author"/>
        <w:ind w:firstLine="426"/>
        <w:rPr>
          <w:rFonts w:eastAsia="MS Mincho"/>
        </w:rPr>
        <w:sectPr w:rsidR="008A55B5" w:rsidRPr="00873CFF" w:rsidSect="006C4648">
          <w:pgSz w:w="11909" w:h="16834" w:code="9"/>
          <w:pgMar w:top="1080" w:right="734" w:bottom="2434" w:left="734" w:header="720" w:footer="720" w:gutter="0"/>
          <w:cols w:space="720"/>
          <w:docGrid w:linePitch="360"/>
        </w:sectPr>
      </w:pPr>
    </w:p>
    <w:p w:rsidR="008A55B5" w:rsidRPr="00283C19" w:rsidRDefault="00974F69" w:rsidP="004901BB">
      <w:pPr>
        <w:pStyle w:val="Author"/>
        <w:ind w:firstLine="426"/>
        <w:rPr>
          <w:rFonts w:eastAsia="MS Mincho"/>
          <w:b/>
        </w:rPr>
      </w:pPr>
      <w:r w:rsidRPr="00283C19">
        <w:rPr>
          <w:rFonts w:eastAsia="MS Mincho"/>
          <w:b/>
        </w:rPr>
        <w:lastRenderedPageBreak/>
        <w:t>Cut Zahri Harun</w:t>
      </w:r>
    </w:p>
    <w:p w:rsidR="008A55B5" w:rsidRPr="00873CFF" w:rsidRDefault="00886116" w:rsidP="004901BB">
      <w:pPr>
        <w:pStyle w:val="Affiliation"/>
        <w:ind w:firstLine="426"/>
        <w:rPr>
          <w:rFonts w:eastAsia="MS Mincho"/>
        </w:rPr>
      </w:pPr>
      <w:r>
        <w:rPr>
          <w:rFonts w:eastAsia="MS Mincho"/>
        </w:rPr>
        <w:t xml:space="preserve">Professor at </w:t>
      </w:r>
      <w:r w:rsidR="00974F69" w:rsidRPr="00873CFF">
        <w:rPr>
          <w:rFonts w:eastAsia="MS Mincho"/>
        </w:rPr>
        <w:t>Magister Administrasi Pendidikan</w:t>
      </w:r>
    </w:p>
    <w:p w:rsidR="008A55B5" w:rsidRPr="00873CFF" w:rsidRDefault="00974F69" w:rsidP="004901BB">
      <w:pPr>
        <w:pStyle w:val="Affiliation"/>
        <w:ind w:firstLine="426"/>
        <w:rPr>
          <w:rFonts w:eastAsia="MS Mincho"/>
        </w:rPr>
      </w:pPr>
      <w:r w:rsidRPr="00873CFF">
        <w:rPr>
          <w:rFonts w:eastAsia="MS Mincho"/>
        </w:rPr>
        <w:t>Universitas Syiah Kuala</w:t>
      </w:r>
    </w:p>
    <w:p w:rsidR="008A55B5" w:rsidRPr="00873CFF" w:rsidRDefault="00974F69" w:rsidP="004901BB">
      <w:pPr>
        <w:pStyle w:val="Affiliation"/>
        <w:ind w:firstLine="426"/>
        <w:rPr>
          <w:rFonts w:eastAsia="MS Mincho"/>
        </w:rPr>
      </w:pPr>
      <w:r w:rsidRPr="00873CFF">
        <w:rPr>
          <w:rFonts w:eastAsia="MS Mincho"/>
        </w:rPr>
        <w:t>Banda Aceh</w:t>
      </w:r>
      <w:r w:rsidR="008A55B5" w:rsidRPr="00873CFF">
        <w:rPr>
          <w:rFonts w:eastAsia="MS Mincho"/>
        </w:rPr>
        <w:t xml:space="preserve">, </w:t>
      </w:r>
      <w:r w:rsidRPr="00873CFF">
        <w:rPr>
          <w:rFonts w:eastAsia="MS Mincho"/>
        </w:rPr>
        <w:t>Indonesia</w:t>
      </w:r>
    </w:p>
    <w:p w:rsidR="008A55B5" w:rsidRPr="00873CFF" w:rsidRDefault="006215D9" w:rsidP="004901BB">
      <w:pPr>
        <w:pStyle w:val="Affiliation"/>
        <w:ind w:firstLine="426"/>
        <w:rPr>
          <w:rFonts w:eastAsia="MS Mincho"/>
        </w:rPr>
      </w:pPr>
      <w:hyperlink r:id="rId7" w:history="1">
        <w:r w:rsidR="00974F69" w:rsidRPr="00873CFF">
          <w:rPr>
            <w:rStyle w:val="Hyperlink"/>
            <w:rFonts w:eastAsia="MS Mincho"/>
            <w:color w:val="auto"/>
          </w:rPr>
          <w:t>profcut@unsyiah.ac.id</w:t>
        </w:r>
      </w:hyperlink>
      <w:r w:rsidR="00974F69" w:rsidRPr="00873CFF">
        <w:rPr>
          <w:rFonts w:eastAsia="MS Mincho"/>
        </w:rPr>
        <w:t xml:space="preserve"> </w:t>
      </w:r>
    </w:p>
    <w:p w:rsidR="008A55B5" w:rsidRPr="00873CFF" w:rsidRDefault="00974F69" w:rsidP="004901BB">
      <w:pPr>
        <w:pStyle w:val="Author"/>
        <w:ind w:firstLine="426"/>
        <w:rPr>
          <w:rFonts w:eastAsia="MS Mincho"/>
        </w:rPr>
      </w:pPr>
      <w:r w:rsidRPr="00283C19">
        <w:rPr>
          <w:rFonts w:eastAsia="MS Mincho"/>
          <w:b/>
        </w:rPr>
        <w:lastRenderedPageBreak/>
        <w:t>Kismullah</w:t>
      </w:r>
    </w:p>
    <w:p w:rsidR="008A55B5" w:rsidRPr="00873CFF" w:rsidRDefault="00886116" w:rsidP="004901BB">
      <w:pPr>
        <w:pStyle w:val="Affiliation"/>
        <w:ind w:firstLine="426"/>
        <w:rPr>
          <w:rFonts w:eastAsia="MS Mincho"/>
        </w:rPr>
      </w:pPr>
      <w:r>
        <w:rPr>
          <w:rFonts w:eastAsia="MS Mincho"/>
        </w:rPr>
        <w:t xml:space="preserve">Lecturer at </w:t>
      </w:r>
      <w:r w:rsidR="00974F69" w:rsidRPr="00873CFF">
        <w:rPr>
          <w:rFonts w:eastAsia="MS Mincho"/>
        </w:rPr>
        <w:t>Magister Pendidikan Bahasa Inggris</w:t>
      </w:r>
    </w:p>
    <w:p w:rsidR="008A55B5" w:rsidRPr="00873CFF" w:rsidRDefault="00974F69" w:rsidP="004901BB">
      <w:pPr>
        <w:pStyle w:val="Affiliation"/>
        <w:ind w:firstLine="426"/>
        <w:rPr>
          <w:rFonts w:eastAsia="MS Mincho"/>
        </w:rPr>
      </w:pPr>
      <w:r w:rsidRPr="00873CFF">
        <w:rPr>
          <w:rFonts w:eastAsia="MS Mincho"/>
        </w:rPr>
        <w:t>Universitas Syiah Kuala</w:t>
      </w:r>
    </w:p>
    <w:p w:rsidR="00974F69" w:rsidRPr="00873CFF" w:rsidRDefault="00974F69" w:rsidP="004901BB">
      <w:pPr>
        <w:pStyle w:val="Affiliation"/>
        <w:ind w:firstLine="426"/>
        <w:rPr>
          <w:rFonts w:eastAsia="MS Mincho"/>
        </w:rPr>
      </w:pPr>
      <w:r w:rsidRPr="00873CFF">
        <w:rPr>
          <w:rFonts w:eastAsia="MS Mincho"/>
        </w:rPr>
        <w:t xml:space="preserve">Banda Aceh, Indonesia </w:t>
      </w:r>
    </w:p>
    <w:p w:rsidR="008A55B5" w:rsidRPr="00873CFF" w:rsidRDefault="006215D9" w:rsidP="004901BB">
      <w:pPr>
        <w:pStyle w:val="Affiliation"/>
        <w:ind w:firstLine="426"/>
        <w:rPr>
          <w:rFonts w:eastAsia="MS Mincho"/>
        </w:rPr>
        <w:sectPr w:rsidR="008A55B5" w:rsidRPr="00873CFF" w:rsidSect="006C4648">
          <w:type w:val="continuous"/>
          <w:pgSz w:w="11909" w:h="16834" w:code="9"/>
          <w:pgMar w:top="1080" w:right="734" w:bottom="2434" w:left="734" w:header="720" w:footer="720" w:gutter="0"/>
          <w:cols w:num="2" w:space="720" w:equalWidth="0">
            <w:col w:w="4860" w:space="720"/>
            <w:col w:w="4860"/>
          </w:cols>
          <w:docGrid w:linePitch="360"/>
        </w:sectPr>
      </w:pPr>
      <w:hyperlink r:id="rId8" w:history="1">
        <w:r w:rsidR="00974F69" w:rsidRPr="00873CFF">
          <w:rPr>
            <w:rStyle w:val="Hyperlink"/>
            <w:rFonts w:eastAsia="MS Mincho"/>
            <w:color w:val="auto"/>
          </w:rPr>
          <w:t>kismullah@unsyiah.ac.id</w:t>
        </w:r>
      </w:hyperlink>
      <w:r w:rsidR="00974F69" w:rsidRPr="00873CFF">
        <w:rPr>
          <w:rFonts w:eastAsia="MS Mincho"/>
        </w:rPr>
        <w:t xml:space="preserve"> </w:t>
      </w:r>
    </w:p>
    <w:p w:rsidR="008A55B5" w:rsidRPr="00873CFF" w:rsidRDefault="008A55B5" w:rsidP="004901BB">
      <w:pPr>
        <w:pStyle w:val="Affiliation"/>
        <w:ind w:firstLine="426"/>
        <w:rPr>
          <w:rFonts w:eastAsia="MS Mincho"/>
        </w:rPr>
      </w:pPr>
    </w:p>
    <w:p w:rsidR="008A55B5" w:rsidRPr="006D7F2B" w:rsidRDefault="008A55B5" w:rsidP="004901BB">
      <w:pPr>
        <w:ind w:firstLine="426"/>
        <w:rPr>
          <w:rFonts w:eastAsia="MS Mincho"/>
        </w:rPr>
      </w:pPr>
    </w:p>
    <w:p w:rsidR="008A55B5" w:rsidRPr="006D7F2B" w:rsidRDefault="008A55B5" w:rsidP="004901BB">
      <w:pPr>
        <w:ind w:firstLine="426"/>
        <w:rPr>
          <w:rFonts w:eastAsia="MS Mincho"/>
        </w:rPr>
        <w:sectPr w:rsidR="008A55B5" w:rsidRPr="006D7F2B" w:rsidSect="006C4648">
          <w:type w:val="continuous"/>
          <w:pgSz w:w="11909" w:h="16834" w:code="9"/>
          <w:pgMar w:top="1080" w:right="734" w:bottom="2434" w:left="734" w:header="720" w:footer="720" w:gutter="0"/>
          <w:cols w:space="720"/>
          <w:docGrid w:linePitch="360"/>
        </w:sectPr>
      </w:pPr>
    </w:p>
    <w:p w:rsidR="009E1DAA" w:rsidRPr="006D7F2B" w:rsidRDefault="009E1DAA" w:rsidP="004901BB">
      <w:pPr>
        <w:pStyle w:val="Abstract"/>
        <w:ind w:firstLine="426"/>
        <w:rPr>
          <w:rFonts w:eastAsia="MS Mincho"/>
          <w:iCs/>
          <w:sz w:val="20"/>
          <w:szCs w:val="20"/>
        </w:rPr>
      </w:pPr>
      <w:r w:rsidRPr="006D7F2B">
        <w:rPr>
          <w:rFonts w:eastAsia="MS Mincho"/>
          <w:i/>
          <w:iCs/>
          <w:sz w:val="20"/>
          <w:szCs w:val="20"/>
        </w:rPr>
        <w:lastRenderedPageBreak/>
        <w:t>Abstract</w:t>
      </w:r>
      <w:r w:rsidRPr="006D7F2B">
        <w:rPr>
          <w:rFonts w:eastAsia="MS Mincho"/>
          <w:sz w:val="20"/>
          <w:szCs w:val="20"/>
        </w:rPr>
        <w:t xml:space="preserve">—This paper reports </w:t>
      </w:r>
      <w:r w:rsidRPr="006D7F2B">
        <w:rPr>
          <w:sz w:val="20"/>
          <w:szCs w:val="20"/>
        </w:rPr>
        <w:t xml:space="preserve">the findings of a survey conducted at </w:t>
      </w:r>
      <w:r w:rsidR="006B7A0F" w:rsidRPr="006D7F2B">
        <w:rPr>
          <w:sz w:val="20"/>
          <w:szCs w:val="20"/>
        </w:rPr>
        <w:t>3</w:t>
      </w:r>
      <w:r w:rsidRPr="006D7F2B">
        <w:rPr>
          <w:sz w:val="20"/>
          <w:szCs w:val="20"/>
        </w:rPr>
        <w:t xml:space="preserve"> of </w:t>
      </w:r>
      <w:r w:rsidR="006B7A0F" w:rsidRPr="006D7F2B">
        <w:rPr>
          <w:sz w:val="20"/>
          <w:szCs w:val="20"/>
        </w:rPr>
        <w:t>23</w:t>
      </w:r>
      <w:r w:rsidRPr="006D7F2B">
        <w:rPr>
          <w:sz w:val="20"/>
          <w:szCs w:val="20"/>
        </w:rPr>
        <w:t xml:space="preserve"> cities and districts in the Aceh Province. It looks at the influence of the Implementation of </w:t>
      </w:r>
      <w:r w:rsidRPr="006D7F2B">
        <w:rPr>
          <w:i/>
          <w:sz w:val="20"/>
          <w:szCs w:val="20"/>
        </w:rPr>
        <w:t>Kurikulum 2013</w:t>
      </w:r>
      <w:r w:rsidRPr="006D7F2B">
        <w:rPr>
          <w:sz w:val="20"/>
          <w:szCs w:val="20"/>
        </w:rPr>
        <w:t xml:space="preserve"> (Curriculum 2013, hence K-13) prescribed by the Ministry of Education and Culture of Indonesia, focusing on its implementation, teachers’s understanding of it, and their influence on students’ character.</w:t>
      </w:r>
      <w:r w:rsidR="006B7A0F" w:rsidRPr="006D7F2B">
        <w:rPr>
          <w:sz w:val="20"/>
          <w:szCs w:val="20"/>
        </w:rPr>
        <w:t xml:space="preserve"> The study surveyed 6 senior high schools in Aceh, 2 from each of the three cities and districts using 3 sets of 5-point Likert Scale Questionnaires considering curriculum implementation, teachers’ understanding, and students’ character in their items. </w:t>
      </w:r>
      <w:r w:rsidR="00C974C7" w:rsidRPr="006D7F2B">
        <w:rPr>
          <w:sz w:val="20"/>
          <w:szCs w:val="20"/>
        </w:rPr>
        <w:t>Multiple linear r</w:t>
      </w:r>
      <w:r w:rsidR="006B7A0F" w:rsidRPr="006D7F2B">
        <w:rPr>
          <w:sz w:val="20"/>
          <w:szCs w:val="20"/>
        </w:rPr>
        <w:t xml:space="preserve">egression Analysis was performed </w:t>
      </w:r>
      <w:r w:rsidR="00C974C7" w:rsidRPr="006D7F2B">
        <w:rPr>
          <w:sz w:val="20"/>
          <w:szCs w:val="20"/>
        </w:rPr>
        <w:t xml:space="preserve">using SPSS </w:t>
      </w:r>
      <w:r w:rsidR="006B7A0F" w:rsidRPr="006D7F2B">
        <w:rPr>
          <w:sz w:val="20"/>
          <w:szCs w:val="20"/>
        </w:rPr>
        <w:t xml:space="preserve">to find out the influence of the first two factors on the third. </w:t>
      </w:r>
      <w:r w:rsidR="006C188F" w:rsidRPr="006D7F2B">
        <w:rPr>
          <w:sz w:val="20"/>
          <w:szCs w:val="20"/>
        </w:rPr>
        <w:t>The result the analyses show that the implementation of K-13 and teachers’ understanding partially and simultaneously influence the character of students at senior high schools in the Province of Aceh.</w:t>
      </w:r>
    </w:p>
    <w:p w:rsidR="008A55B5" w:rsidRPr="006D7F2B" w:rsidRDefault="0072064C" w:rsidP="004901BB">
      <w:pPr>
        <w:pStyle w:val="keywords"/>
        <w:ind w:firstLine="426"/>
        <w:rPr>
          <w:rFonts w:eastAsia="MS Mincho"/>
          <w:sz w:val="20"/>
          <w:szCs w:val="20"/>
        </w:rPr>
      </w:pPr>
      <w:r w:rsidRPr="006D7F2B">
        <w:rPr>
          <w:rFonts w:eastAsia="MS Mincho"/>
          <w:sz w:val="20"/>
          <w:szCs w:val="20"/>
        </w:rPr>
        <w:t>Keywords—</w:t>
      </w:r>
      <w:r w:rsidR="006C188F" w:rsidRPr="006D7F2B">
        <w:rPr>
          <w:rFonts w:eastAsia="MS Mincho"/>
          <w:sz w:val="20"/>
          <w:szCs w:val="20"/>
        </w:rPr>
        <w:t>K-13 Implementation</w:t>
      </w:r>
      <w:r w:rsidR="008A55B5" w:rsidRPr="006D7F2B">
        <w:rPr>
          <w:rFonts w:eastAsia="MS Mincho"/>
          <w:sz w:val="20"/>
          <w:szCs w:val="20"/>
        </w:rPr>
        <w:t xml:space="preserve">; </w:t>
      </w:r>
      <w:r w:rsidR="006C188F" w:rsidRPr="006D7F2B">
        <w:rPr>
          <w:rFonts w:eastAsia="MS Mincho"/>
          <w:sz w:val="20"/>
          <w:szCs w:val="20"/>
        </w:rPr>
        <w:t>Teachers’ Understanding</w:t>
      </w:r>
      <w:r w:rsidR="008A55B5" w:rsidRPr="006D7F2B">
        <w:rPr>
          <w:rFonts w:eastAsia="MS Mincho"/>
          <w:sz w:val="20"/>
          <w:szCs w:val="20"/>
        </w:rPr>
        <w:t xml:space="preserve">; </w:t>
      </w:r>
      <w:r w:rsidR="006C188F" w:rsidRPr="006D7F2B">
        <w:rPr>
          <w:rFonts w:eastAsia="MS Mincho"/>
          <w:sz w:val="20"/>
          <w:szCs w:val="20"/>
        </w:rPr>
        <w:t>Students Character</w:t>
      </w:r>
    </w:p>
    <w:p w:rsidR="008A55B5" w:rsidRPr="006D7F2B" w:rsidRDefault="008A55B5" w:rsidP="004901BB">
      <w:pPr>
        <w:pStyle w:val="Heading1"/>
        <w:ind w:firstLine="426"/>
      </w:pPr>
      <w:r w:rsidRPr="006D7F2B">
        <w:t xml:space="preserve"> Introduction </w:t>
      </w:r>
    </w:p>
    <w:p w:rsidR="003A7490" w:rsidRPr="006D7F2B" w:rsidRDefault="004901BB" w:rsidP="004901BB">
      <w:pPr>
        <w:ind w:firstLine="426"/>
        <w:jc w:val="both"/>
        <w:rPr>
          <w:rFonts w:eastAsia="Arial"/>
        </w:rPr>
      </w:pPr>
      <w:r w:rsidRPr="006D7F2B">
        <w:rPr>
          <w:rFonts w:eastAsia="Arial"/>
        </w:rPr>
        <w:t xml:space="preserve">Character education is </w:t>
      </w:r>
      <w:r w:rsidRPr="006D7F2B">
        <w:t xml:space="preserve">usually used as </w:t>
      </w:r>
      <w:r w:rsidRPr="006D7F2B">
        <w:rPr>
          <w:bCs/>
        </w:rPr>
        <w:t xml:space="preserve">a general </w:t>
      </w:r>
      <w:r w:rsidRPr="006D7F2B">
        <w:rPr>
          <w:rFonts w:eastAsia="Arial"/>
          <w:bCs/>
        </w:rPr>
        <w:t xml:space="preserve">term </w:t>
      </w:r>
      <w:r w:rsidRPr="006D7F2B">
        <w:rPr>
          <w:bCs/>
        </w:rPr>
        <w:t>to refer to</w:t>
      </w:r>
      <w:r w:rsidRPr="006D7F2B">
        <w:rPr>
          <w:rFonts w:eastAsia="Arial"/>
        </w:rPr>
        <w:t xml:space="preserve"> the teaching of children </w:t>
      </w:r>
      <w:r w:rsidRPr="006D7F2B">
        <w:t xml:space="preserve">or students at schools </w:t>
      </w:r>
      <w:r w:rsidRPr="006D7F2B">
        <w:rPr>
          <w:rFonts w:eastAsia="Arial"/>
        </w:rPr>
        <w:t xml:space="preserve">in a manner that will help them </w:t>
      </w:r>
      <w:r w:rsidRPr="006D7F2B">
        <w:t xml:space="preserve">grow and </w:t>
      </w:r>
      <w:r w:rsidRPr="006D7F2B">
        <w:rPr>
          <w:rFonts w:eastAsia="Arial"/>
        </w:rPr>
        <w:t xml:space="preserve">develop as moral, civic, good, mannered, </w:t>
      </w:r>
      <w:r w:rsidRPr="006D7F2B">
        <w:t>well-</w:t>
      </w:r>
      <w:r w:rsidRPr="006D7F2B">
        <w:rPr>
          <w:rFonts w:eastAsia="Arial"/>
        </w:rPr>
        <w:t xml:space="preserve">behaved, non-bullying, healthy, critical, successful, traditional, compliant or socially acceptable beings. </w:t>
      </w:r>
      <w:r w:rsidR="00E80424" w:rsidRPr="006D7F2B">
        <w:rPr>
          <w:rFonts w:eastAsia="Arial"/>
        </w:rPr>
        <w:t>These values have been indicated by the United Nations for Educational Scientific and Cultural Organization (UNESCO) as closely related to society, spirituality, and Cul</w:t>
      </w:r>
      <w:r w:rsidR="003A7490" w:rsidRPr="006D7F2B">
        <w:rPr>
          <w:rFonts w:eastAsia="Arial"/>
        </w:rPr>
        <w:t>tu</w:t>
      </w:r>
      <w:r w:rsidR="00E80424" w:rsidRPr="006D7F2B">
        <w:rPr>
          <w:rFonts w:eastAsia="Arial"/>
        </w:rPr>
        <w:t>r</w:t>
      </w:r>
      <w:r w:rsidR="003A7490" w:rsidRPr="006D7F2B">
        <w:rPr>
          <w:rFonts w:eastAsia="Arial"/>
        </w:rPr>
        <w:t>e</w:t>
      </w:r>
      <w:r w:rsidR="00E80424" w:rsidRPr="006D7F2B">
        <w:rPr>
          <w:rFonts w:eastAsia="Arial"/>
        </w:rPr>
        <w:t xml:space="preserve"> [</w:t>
      </w:r>
      <w:r w:rsidR="007F3428">
        <w:rPr>
          <w:rFonts w:eastAsia="Arial"/>
        </w:rPr>
        <w:t>1</w:t>
      </w:r>
      <w:r w:rsidR="00E80424" w:rsidRPr="006D7F2B">
        <w:rPr>
          <w:rFonts w:eastAsia="Arial"/>
        </w:rPr>
        <w:t xml:space="preserve">]. </w:t>
      </w:r>
      <w:r w:rsidR="003A7490" w:rsidRPr="006D7F2B">
        <w:rPr>
          <w:rFonts w:eastAsia="Arial"/>
        </w:rPr>
        <w:t xml:space="preserve">Therefore, different countries have different </w:t>
      </w:r>
      <w:r w:rsidR="00F4230C" w:rsidRPr="006D7F2B">
        <w:rPr>
          <w:rFonts w:eastAsia="Arial"/>
        </w:rPr>
        <w:t>formulation</w:t>
      </w:r>
      <w:r w:rsidR="003A7490" w:rsidRPr="006D7F2B">
        <w:rPr>
          <w:rFonts w:eastAsia="Arial"/>
        </w:rPr>
        <w:t xml:space="preserve"> regarding </w:t>
      </w:r>
      <w:r w:rsidR="00F4230C" w:rsidRPr="006D7F2B">
        <w:rPr>
          <w:rFonts w:eastAsia="Arial"/>
        </w:rPr>
        <w:t xml:space="preserve">how character </w:t>
      </w:r>
      <w:r w:rsidR="003A7490" w:rsidRPr="006D7F2B">
        <w:rPr>
          <w:rFonts w:eastAsia="Arial"/>
        </w:rPr>
        <w:t>values</w:t>
      </w:r>
      <w:r w:rsidR="00F4230C" w:rsidRPr="006D7F2B">
        <w:rPr>
          <w:rFonts w:eastAsia="Arial"/>
        </w:rPr>
        <w:t xml:space="preserve"> are approach</w:t>
      </w:r>
      <w:r w:rsidR="00467716">
        <w:rPr>
          <w:rFonts w:eastAsia="Arial"/>
        </w:rPr>
        <w:t>ed</w:t>
      </w:r>
      <w:r w:rsidR="00F4230C" w:rsidRPr="006D7F2B">
        <w:rPr>
          <w:rFonts w:eastAsia="Arial"/>
        </w:rPr>
        <w:t xml:space="preserve"> and pursued</w:t>
      </w:r>
      <w:r w:rsidR="003A7490" w:rsidRPr="006D7F2B">
        <w:rPr>
          <w:rFonts w:eastAsia="Arial"/>
        </w:rPr>
        <w:t xml:space="preserve">. Clear differences are for example shown in </w:t>
      </w:r>
      <w:r w:rsidR="00F4230C" w:rsidRPr="006D7F2B">
        <w:rPr>
          <w:rFonts w:eastAsia="Arial"/>
        </w:rPr>
        <w:t>how it</w:t>
      </w:r>
      <w:r w:rsidR="003A7490" w:rsidRPr="006D7F2B">
        <w:rPr>
          <w:rFonts w:eastAsia="Arial"/>
        </w:rPr>
        <w:t xml:space="preserve"> is </w:t>
      </w:r>
      <w:r w:rsidR="00F4230C" w:rsidRPr="006D7F2B">
        <w:rPr>
          <w:rFonts w:eastAsia="Arial"/>
        </w:rPr>
        <w:t>approached</w:t>
      </w:r>
      <w:r w:rsidR="003A7490" w:rsidRPr="006D7F2B">
        <w:rPr>
          <w:rFonts w:eastAsia="Arial"/>
        </w:rPr>
        <w:t xml:space="preserve"> by England and Indonesia in their curriculum. </w:t>
      </w:r>
      <w:r w:rsidR="00504595" w:rsidRPr="006D7F2B">
        <w:rPr>
          <w:rFonts w:eastAsia="Arial"/>
        </w:rPr>
        <w:t xml:space="preserve">England </w:t>
      </w:r>
      <w:r w:rsidR="00F4230C" w:rsidRPr="006D7F2B">
        <w:rPr>
          <w:rFonts w:eastAsia="Arial"/>
        </w:rPr>
        <w:t>formulate their character education in five foundations [2Hinds] while Indonesia has four layers of micro contexts of how values and characters are prescribed to develop.</w:t>
      </w:r>
    </w:p>
    <w:p w:rsidR="00191C78" w:rsidRPr="006D7F2B" w:rsidRDefault="00E80424" w:rsidP="004901BB">
      <w:pPr>
        <w:ind w:firstLine="426"/>
        <w:jc w:val="both"/>
        <w:rPr>
          <w:rFonts w:eastAsia="Arial"/>
        </w:rPr>
      </w:pPr>
      <w:r w:rsidRPr="006D7F2B">
        <w:rPr>
          <w:rFonts w:eastAsia="Arial"/>
        </w:rPr>
        <w:t>Moral and ethical va</w:t>
      </w:r>
      <w:r w:rsidR="007111C0" w:rsidRPr="006D7F2B">
        <w:rPr>
          <w:rFonts w:eastAsia="Arial"/>
        </w:rPr>
        <w:t>lues are said to strongly link</w:t>
      </w:r>
      <w:r w:rsidRPr="006D7F2B">
        <w:rPr>
          <w:rFonts w:eastAsia="Arial"/>
        </w:rPr>
        <w:t xml:space="preserve"> with beliefs and attitude which th</w:t>
      </w:r>
      <w:r w:rsidR="00C3217D">
        <w:rPr>
          <w:rFonts w:eastAsia="Arial"/>
        </w:rPr>
        <w:t>en guide human behavior [2</w:t>
      </w:r>
      <w:r w:rsidRPr="006D7F2B">
        <w:rPr>
          <w:rFonts w:eastAsia="Arial"/>
        </w:rPr>
        <w:t>].</w:t>
      </w:r>
      <w:r w:rsidR="007111C0" w:rsidRPr="006D7F2B">
        <w:rPr>
          <w:rFonts w:eastAsia="Arial"/>
        </w:rPr>
        <w:t xml:space="preserve"> </w:t>
      </w:r>
      <w:r w:rsidR="007111C0" w:rsidRPr="006D7F2B">
        <w:rPr>
          <w:rFonts w:eastAsia="Arial"/>
        </w:rPr>
        <w:lastRenderedPageBreak/>
        <w:t>Morality and ethics determine human behavior which are reflected in practical activities and theoretical, systematic and rational reflection of what is ideal [</w:t>
      </w:r>
      <w:r w:rsidR="003A7490" w:rsidRPr="006D7F2B">
        <w:rPr>
          <w:rFonts w:eastAsia="Arial"/>
        </w:rPr>
        <w:t>3</w:t>
      </w:r>
      <w:r w:rsidR="007111C0" w:rsidRPr="006D7F2B">
        <w:rPr>
          <w:rFonts w:eastAsia="Arial"/>
        </w:rPr>
        <w:t>].</w:t>
      </w:r>
    </w:p>
    <w:p w:rsidR="004901BB" w:rsidRDefault="00191C78" w:rsidP="00467716">
      <w:pPr>
        <w:ind w:firstLine="426"/>
        <w:jc w:val="both"/>
        <w:rPr>
          <w:rFonts w:eastAsia="Arial"/>
        </w:rPr>
      </w:pPr>
      <w:r w:rsidRPr="006D7F2B">
        <w:rPr>
          <w:rFonts w:eastAsia="Arial"/>
        </w:rPr>
        <w:t>In England, the practical activities revolve around 5 foundations as emphasized by its Secretary of E</w:t>
      </w:r>
      <w:r w:rsidR="00394579">
        <w:rPr>
          <w:rFonts w:eastAsia="Arial"/>
        </w:rPr>
        <w:t>ducation, Damian Hinds [4</w:t>
      </w:r>
      <w:r w:rsidRPr="006D7F2B">
        <w:rPr>
          <w:rFonts w:eastAsia="Arial"/>
        </w:rPr>
        <w:t>]. These include sports, creativity, performing, volunteering and membership, and world of work.</w:t>
      </w:r>
    </w:p>
    <w:p w:rsidR="00467716" w:rsidRPr="006D7F2B" w:rsidRDefault="00467716" w:rsidP="00467716">
      <w:pPr>
        <w:ind w:firstLine="426"/>
        <w:jc w:val="both"/>
        <w:rPr>
          <w:rFonts w:eastAsia="Arial"/>
        </w:rPr>
      </w:pPr>
    </w:p>
    <w:p w:rsidR="00116F3B" w:rsidRPr="006D7F2B" w:rsidRDefault="00116F3B" w:rsidP="00283C19">
      <w:pPr>
        <w:jc w:val="both"/>
        <w:rPr>
          <w:rFonts w:eastAsia="Arial"/>
          <w:b/>
        </w:rPr>
      </w:pPr>
      <w:r w:rsidRPr="006D7F2B">
        <w:rPr>
          <w:rFonts w:eastAsia="Arial"/>
          <w:b/>
        </w:rPr>
        <w:t>Curriculum, Character Education and Teachers</w:t>
      </w:r>
    </w:p>
    <w:p w:rsidR="00116F3B" w:rsidRPr="006D7F2B" w:rsidRDefault="001E0F74" w:rsidP="001E0F74">
      <w:pPr>
        <w:tabs>
          <w:tab w:val="left" w:pos="426"/>
        </w:tabs>
        <w:jc w:val="both"/>
        <w:rPr>
          <w:rFonts w:eastAsia="Arial"/>
        </w:rPr>
      </w:pPr>
      <w:r w:rsidRPr="006D7F2B">
        <w:rPr>
          <w:rFonts w:eastAsia="Arial"/>
        </w:rPr>
        <w:tab/>
        <w:t>In general, curriculum is understood as ‘plans for learning.’ Conceptually speaking, it can actually be divided into narro</w:t>
      </w:r>
      <w:r w:rsidR="00467716">
        <w:rPr>
          <w:rFonts w:eastAsia="Arial"/>
        </w:rPr>
        <w:t>w</w:t>
      </w:r>
      <w:r w:rsidRPr="006D7F2B">
        <w:rPr>
          <w:rFonts w:eastAsia="Arial"/>
        </w:rPr>
        <w:t xml:space="preserve"> and broad definition [</w:t>
      </w:r>
      <w:r w:rsidR="004774CC">
        <w:rPr>
          <w:rFonts w:eastAsia="Arial"/>
        </w:rPr>
        <w:t>5</w:t>
      </w:r>
      <w:r w:rsidRPr="006D7F2B">
        <w:rPr>
          <w:rFonts w:eastAsia="Arial"/>
        </w:rPr>
        <w:t>]. The previous definition can be categ</w:t>
      </w:r>
      <w:r w:rsidR="00467716">
        <w:rPr>
          <w:rFonts w:eastAsia="Arial"/>
        </w:rPr>
        <w:t>o</w:t>
      </w:r>
      <w:r w:rsidRPr="006D7F2B">
        <w:rPr>
          <w:rFonts w:eastAsia="Arial"/>
        </w:rPr>
        <w:t>rized as the narrow definition of the curriculum [</w:t>
      </w:r>
      <w:r w:rsidR="004774CC">
        <w:rPr>
          <w:rFonts w:eastAsia="Arial"/>
        </w:rPr>
        <w:t>6</w:t>
      </w:r>
      <w:r w:rsidRPr="006D7F2B">
        <w:rPr>
          <w:rFonts w:eastAsia="Arial"/>
        </w:rPr>
        <w:t>]. This definition was used in many countries in the West as the formal education gained its growth and central government power was strengthened in the 19</w:t>
      </w:r>
      <w:r w:rsidRPr="006D7F2B">
        <w:rPr>
          <w:rFonts w:eastAsia="Arial"/>
          <w:vertAlign w:val="superscript"/>
        </w:rPr>
        <w:t>th</w:t>
      </w:r>
      <w:r w:rsidRPr="006D7F2B">
        <w:rPr>
          <w:rFonts w:eastAsia="Arial"/>
        </w:rPr>
        <w:t xml:space="preserve"> century</w:t>
      </w:r>
      <w:r w:rsidR="00953EA0" w:rsidRPr="006D7F2B">
        <w:rPr>
          <w:rFonts w:eastAsia="Arial"/>
        </w:rPr>
        <w:t xml:space="preserve"> [</w:t>
      </w:r>
      <w:r w:rsidR="004774CC">
        <w:rPr>
          <w:rFonts w:eastAsia="Arial"/>
        </w:rPr>
        <w:t>7</w:t>
      </w:r>
      <w:r w:rsidR="00953EA0" w:rsidRPr="006D7F2B">
        <w:rPr>
          <w:rFonts w:eastAsia="Arial"/>
        </w:rPr>
        <w:t>]</w:t>
      </w:r>
      <w:r w:rsidRPr="006D7F2B">
        <w:rPr>
          <w:rFonts w:eastAsia="Arial"/>
        </w:rPr>
        <w:t xml:space="preserve">. </w:t>
      </w:r>
      <w:r w:rsidR="002F0B49" w:rsidRPr="006D7F2B">
        <w:rPr>
          <w:rFonts w:eastAsia="Arial"/>
        </w:rPr>
        <w:t xml:space="preserve">This narrow definition </w:t>
      </w:r>
      <w:r w:rsidR="00467716">
        <w:rPr>
          <w:rFonts w:eastAsia="Arial"/>
        </w:rPr>
        <w:t xml:space="preserve">also </w:t>
      </w:r>
      <w:r w:rsidR="002F0B49" w:rsidRPr="006D7F2B">
        <w:rPr>
          <w:rFonts w:eastAsia="Arial"/>
        </w:rPr>
        <w:t>seems to be adopted by the Indonesian Ministry of Education which is reflected in its definition of curriculum in Law No 20 of 2003, “curriculum is a set of plan and regulation coherent with goals</w:t>
      </w:r>
      <w:r w:rsidR="00467716">
        <w:rPr>
          <w:rFonts w:eastAsia="Arial"/>
        </w:rPr>
        <w:t>,</w:t>
      </w:r>
      <w:r w:rsidR="002F0B49" w:rsidRPr="006D7F2B">
        <w:rPr>
          <w:rFonts w:eastAsia="Arial"/>
        </w:rPr>
        <w:t xml:space="preserve"> content, and materials used as guides in organizing teaching and learning processes to</w:t>
      </w:r>
      <w:r w:rsidR="00B6191A">
        <w:rPr>
          <w:rFonts w:eastAsia="Arial"/>
        </w:rPr>
        <w:t xml:space="preserve"> achive the educational goals” [8]</w:t>
      </w:r>
      <w:r w:rsidR="002F0B49" w:rsidRPr="006D7F2B">
        <w:rPr>
          <w:rFonts w:eastAsia="Arial"/>
        </w:rPr>
        <w:t>.</w:t>
      </w:r>
      <w:r w:rsidR="00994C45" w:rsidRPr="006D7F2B">
        <w:rPr>
          <w:rFonts w:eastAsia="Arial"/>
        </w:rPr>
        <w:t xml:space="preserve"> This definition was then made reference in any regulation issued thereafter. </w:t>
      </w:r>
      <w:r w:rsidR="001D71ED" w:rsidRPr="006D7F2B">
        <w:rPr>
          <w:rFonts w:eastAsia="Arial"/>
        </w:rPr>
        <w:t>This narrow definition reflect a central power and singula</w:t>
      </w:r>
      <w:r w:rsidR="00467716">
        <w:rPr>
          <w:rFonts w:eastAsia="Arial"/>
        </w:rPr>
        <w:t>ri</w:t>
      </w:r>
      <w:r w:rsidR="001D71ED" w:rsidRPr="006D7F2B">
        <w:rPr>
          <w:rFonts w:eastAsia="Arial"/>
        </w:rPr>
        <w:t>ty</w:t>
      </w:r>
      <w:r w:rsidR="00467716">
        <w:rPr>
          <w:rFonts w:eastAsia="Arial"/>
        </w:rPr>
        <w:t xml:space="preserve"> in the perspective on curriculu</w:t>
      </w:r>
      <w:r w:rsidR="001D71ED" w:rsidRPr="006D7F2B">
        <w:rPr>
          <w:rFonts w:eastAsia="Arial"/>
        </w:rPr>
        <w:t>m which is considered traditional [</w:t>
      </w:r>
      <w:r w:rsidR="00B6191A">
        <w:rPr>
          <w:rFonts w:eastAsia="Arial"/>
        </w:rPr>
        <w:t>7</w:t>
      </w:r>
      <w:r w:rsidR="001D71ED" w:rsidRPr="006D7F2B">
        <w:rPr>
          <w:rFonts w:eastAsia="Arial"/>
        </w:rPr>
        <w:t>].</w:t>
      </w:r>
      <w:r w:rsidR="00651B9E" w:rsidRPr="006D7F2B">
        <w:rPr>
          <w:rFonts w:eastAsia="Arial"/>
        </w:rPr>
        <w:t xml:space="preserve"> That being said, the law governing the national education system does however explain a broader authorities and more defined nature of the curriculum. This is stated in the same law, Law No 20 of 2003, in Article 38 points 1 and 2. Point 1 states that the basic frameworks and structure of the elementary and secondary schools is determined by the government and in point 2 it is stated that the elementary and secondary school curriclum is developed with its relevance to each educational unit [</w:t>
      </w:r>
      <w:r w:rsidR="00B418AD">
        <w:rPr>
          <w:rFonts w:eastAsia="Arial"/>
        </w:rPr>
        <w:t>7,8</w:t>
      </w:r>
      <w:r w:rsidR="00651B9E" w:rsidRPr="006D7F2B">
        <w:rPr>
          <w:rFonts w:eastAsia="Arial"/>
        </w:rPr>
        <w:t xml:space="preserve">]. </w:t>
      </w:r>
      <w:r w:rsidR="00BD2FFC" w:rsidRPr="006D7F2B">
        <w:rPr>
          <w:rFonts w:eastAsia="Arial"/>
        </w:rPr>
        <w:t>As widely known by know, curriculum 2013 is called the character curriculum, meaning that the emphasis being given to building and developing th</w:t>
      </w:r>
      <w:r w:rsidR="00467716">
        <w:rPr>
          <w:rFonts w:eastAsia="Arial"/>
        </w:rPr>
        <w:t>e</w:t>
      </w:r>
      <w:r w:rsidR="00BD2FFC" w:rsidRPr="006D7F2B">
        <w:rPr>
          <w:rFonts w:eastAsia="Arial"/>
        </w:rPr>
        <w:t xml:space="preserve"> character of the students, in addition to their mastery of content knowledge.</w:t>
      </w:r>
    </w:p>
    <w:p w:rsidR="00634A64" w:rsidRDefault="00BD2FFC" w:rsidP="00634A64">
      <w:pPr>
        <w:tabs>
          <w:tab w:val="left" w:pos="426"/>
        </w:tabs>
        <w:jc w:val="both"/>
        <w:rPr>
          <w:rFonts w:eastAsia="Arial"/>
        </w:rPr>
      </w:pPr>
      <w:r w:rsidRPr="006D7F2B">
        <w:rPr>
          <w:rFonts w:eastAsia="Arial"/>
        </w:rPr>
        <w:tab/>
      </w:r>
    </w:p>
    <w:p w:rsidR="00634A64" w:rsidRDefault="00634A64" w:rsidP="00634A64">
      <w:pPr>
        <w:tabs>
          <w:tab w:val="left" w:pos="426"/>
        </w:tabs>
        <w:jc w:val="both"/>
        <w:rPr>
          <w:rFonts w:eastAsia="Arial"/>
        </w:rPr>
      </w:pPr>
    </w:p>
    <w:p w:rsidR="00283C19" w:rsidRPr="006D7F2B" w:rsidRDefault="00283C19" w:rsidP="00634A64">
      <w:pPr>
        <w:tabs>
          <w:tab w:val="left" w:pos="426"/>
        </w:tabs>
        <w:jc w:val="both"/>
        <w:rPr>
          <w:rFonts w:eastAsia="Arial"/>
          <w:b/>
        </w:rPr>
      </w:pPr>
      <w:r w:rsidRPr="006D7F2B">
        <w:rPr>
          <w:rFonts w:eastAsia="Arial"/>
          <w:b/>
        </w:rPr>
        <w:lastRenderedPageBreak/>
        <w:t>Characters in Indonesian K-13</w:t>
      </w:r>
    </w:p>
    <w:p w:rsidR="00734D57" w:rsidRPr="006D7F2B" w:rsidRDefault="00191C78" w:rsidP="004901BB">
      <w:pPr>
        <w:ind w:firstLine="426"/>
        <w:jc w:val="both"/>
        <w:rPr>
          <w:rFonts w:eastAsia="Arial"/>
        </w:rPr>
      </w:pPr>
      <w:r w:rsidRPr="006D7F2B">
        <w:rPr>
          <w:rFonts w:eastAsia="Arial"/>
        </w:rPr>
        <w:t xml:space="preserve">In Indonesia, </w:t>
      </w:r>
      <w:r w:rsidR="00734D57" w:rsidRPr="006D7F2B">
        <w:rPr>
          <w:rFonts w:eastAsia="Arial"/>
        </w:rPr>
        <w:t>there are 18 values being percei</w:t>
      </w:r>
      <w:r w:rsidR="00467716">
        <w:rPr>
          <w:rFonts w:eastAsia="Arial"/>
        </w:rPr>
        <w:t>ved and idealized for the citize</w:t>
      </w:r>
      <w:r w:rsidR="00734D57" w:rsidRPr="006D7F2B">
        <w:rPr>
          <w:rFonts w:eastAsia="Arial"/>
        </w:rPr>
        <w:t xml:space="preserve">ns and school or formal educaton is one of the major instruments through which the values are socialized. </w:t>
      </w:r>
      <w:r w:rsidR="003B1BCE" w:rsidRPr="006D7F2B">
        <w:rPr>
          <w:rFonts w:eastAsia="Arial"/>
        </w:rPr>
        <w:t>The 18 values are illustrated in the follwing figure.</w:t>
      </w:r>
    </w:p>
    <w:p w:rsidR="003B1BCE" w:rsidRPr="006D7F2B" w:rsidRDefault="003B1BCE" w:rsidP="004901BB">
      <w:pPr>
        <w:ind w:firstLine="426"/>
        <w:jc w:val="both"/>
        <w:rPr>
          <w:rFonts w:eastAsia="Arial"/>
        </w:rPr>
      </w:pPr>
    </w:p>
    <w:p w:rsidR="003B1BCE" w:rsidRPr="006D7F2B" w:rsidRDefault="006215D9" w:rsidP="004901BB">
      <w:pPr>
        <w:ind w:firstLine="426"/>
        <w:jc w:val="both"/>
        <w:rPr>
          <w:rFonts w:eastAsia="Arial"/>
        </w:rPr>
      </w:pPr>
      <w:r w:rsidRPr="006215D9">
        <w:rPr>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33.05pt;margin-top:4.15pt;width:171.15pt;height:149.7pt;z-index:2;mso-wrap-style:none;mso-width-relative:margin;mso-height-relative:margin" strokecolor="white">
            <v:textbox style="mso-fit-shape-to-text:t">
              <w:txbxContent>
                <w:p w:rsidR="005B7E59" w:rsidRDefault="006215D9" w:rsidP="00CF63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75pt;height:141.75pt">
                        <v:imagedata r:id="rId9" o:title=""/>
                      </v:shape>
                    </w:pict>
                  </w:r>
                </w:p>
              </w:txbxContent>
            </v:textbox>
          </v:shape>
        </w:pict>
      </w:r>
    </w:p>
    <w:p w:rsidR="003B1BCE" w:rsidRPr="006D7F2B" w:rsidRDefault="003B1BCE" w:rsidP="004901BB">
      <w:pPr>
        <w:ind w:firstLine="426"/>
        <w:jc w:val="both"/>
        <w:rPr>
          <w:rFonts w:eastAsia="Arial"/>
        </w:rPr>
      </w:pPr>
    </w:p>
    <w:p w:rsidR="003B1BCE" w:rsidRPr="006D7F2B" w:rsidRDefault="003B1BCE" w:rsidP="004901BB">
      <w:pPr>
        <w:ind w:firstLine="426"/>
        <w:jc w:val="both"/>
        <w:rPr>
          <w:rFonts w:eastAsia="Arial"/>
        </w:rPr>
      </w:pPr>
    </w:p>
    <w:p w:rsidR="003B1BCE" w:rsidRPr="006D7F2B" w:rsidRDefault="003B1BCE" w:rsidP="004901BB">
      <w:pPr>
        <w:ind w:firstLine="426"/>
        <w:jc w:val="both"/>
        <w:rPr>
          <w:rFonts w:eastAsia="Arial"/>
        </w:rPr>
      </w:pPr>
    </w:p>
    <w:p w:rsidR="003B1BCE" w:rsidRPr="006D7F2B" w:rsidRDefault="003B1BCE" w:rsidP="004901BB">
      <w:pPr>
        <w:ind w:firstLine="426"/>
        <w:jc w:val="both"/>
        <w:rPr>
          <w:rFonts w:eastAsia="Arial"/>
        </w:rPr>
      </w:pPr>
    </w:p>
    <w:p w:rsidR="003B1BCE" w:rsidRPr="006D7F2B" w:rsidRDefault="003B1BCE" w:rsidP="004901BB">
      <w:pPr>
        <w:ind w:firstLine="426"/>
        <w:jc w:val="both"/>
        <w:rPr>
          <w:rFonts w:eastAsia="Arial"/>
        </w:rPr>
      </w:pPr>
    </w:p>
    <w:p w:rsidR="00CF6388" w:rsidRPr="006D7F2B" w:rsidRDefault="00CF6388" w:rsidP="004901BB">
      <w:pPr>
        <w:ind w:firstLine="426"/>
        <w:jc w:val="both"/>
        <w:rPr>
          <w:rFonts w:eastAsia="Arial"/>
        </w:rPr>
      </w:pPr>
    </w:p>
    <w:p w:rsidR="00CF6388" w:rsidRPr="006D7F2B" w:rsidRDefault="00CF6388" w:rsidP="004901BB">
      <w:pPr>
        <w:ind w:firstLine="426"/>
        <w:jc w:val="both"/>
        <w:rPr>
          <w:rFonts w:eastAsia="Arial"/>
        </w:rPr>
      </w:pPr>
    </w:p>
    <w:p w:rsidR="00CF6388" w:rsidRPr="006D7F2B" w:rsidRDefault="00CF6388" w:rsidP="004901BB">
      <w:pPr>
        <w:ind w:firstLine="426"/>
        <w:jc w:val="both"/>
        <w:rPr>
          <w:rFonts w:eastAsia="Arial"/>
        </w:rPr>
      </w:pPr>
    </w:p>
    <w:p w:rsidR="00CF6388" w:rsidRPr="006D7F2B" w:rsidRDefault="00CF6388" w:rsidP="004901BB">
      <w:pPr>
        <w:ind w:firstLine="426"/>
        <w:jc w:val="both"/>
        <w:rPr>
          <w:rFonts w:eastAsia="Arial"/>
        </w:rPr>
      </w:pPr>
    </w:p>
    <w:p w:rsidR="00CF6388" w:rsidRPr="006D7F2B" w:rsidRDefault="00CF6388" w:rsidP="004901BB">
      <w:pPr>
        <w:ind w:firstLine="426"/>
        <w:jc w:val="both"/>
        <w:rPr>
          <w:rFonts w:eastAsia="Arial"/>
        </w:rPr>
      </w:pPr>
    </w:p>
    <w:p w:rsidR="00CF6388" w:rsidRPr="006D7F2B" w:rsidRDefault="00CF6388" w:rsidP="004901BB">
      <w:pPr>
        <w:ind w:firstLine="426"/>
        <w:jc w:val="both"/>
        <w:rPr>
          <w:rFonts w:eastAsia="Arial"/>
        </w:rPr>
      </w:pPr>
    </w:p>
    <w:p w:rsidR="00734D57" w:rsidRPr="006D7F2B" w:rsidRDefault="00734D57" w:rsidP="004901BB">
      <w:pPr>
        <w:ind w:firstLine="426"/>
        <w:jc w:val="both"/>
        <w:rPr>
          <w:rFonts w:eastAsia="Arial"/>
        </w:rPr>
      </w:pPr>
    </w:p>
    <w:p w:rsidR="00734D57" w:rsidRPr="006D7F2B" w:rsidRDefault="00734D57" w:rsidP="004901BB">
      <w:pPr>
        <w:ind w:firstLine="426"/>
        <w:jc w:val="both"/>
        <w:rPr>
          <w:rFonts w:eastAsia="Arial"/>
        </w:rPr>
      </w:pPr>
    </w:p>
    <w:p w:rsidR="00CF6388" w:rsidRPr="006D7F2B" w:rsidRDefault="00CF6388" w:rsidP="004901BB">
      <w:pPr>
        <w:ind w:firstLine="426"/>
        <w:jc w:val="both"/>
        <w:rPr>
          <w:rFonts w:eastAsia="Arial"/>
        </w:rPr>
      </w:pPr>
    </w:p>
    <w:p w:rsidR="00CF6388" w:rsidRPr="006D7F2B" w:rsidRDefault="00CF6388" w:rsidP="004901BB">
      <w:pPr>
        <w:ind w:firstLine="426"/>
        <w:jc w:val="both"/>
        <w:rPr>
          <w:rFonts w:eastAsia="Arial"/>
        </w:rPr>
      </w:pPr>
      <w:r w:rsidRPr="006D7F2B">
        <w:rPr>
          <w:rFonts w:eastAsia="Arial"/>
          <w:b/>
        </w:rPr>
        <w:t>Figure 1</w:t>
      </w:r>
      <w:r w:rsidRPr="006D7F2B">
        <w:rPr>
          <w:rFonts w:eastAsia="Arial"/>
        </w:rPr>
        <w:t xml:space="preserve"> The 18 </w:t>
      </w:r>
      <w:r w:rsidR="00544184" w:rsidRPr="006D7F2B">
        <w:rPr>
          <w:rFonts w:eastAsia="Arial"/>
        </w:rPr>
        <w:t>character</w:t>
      </w:r>
      <w:r w:rsidRPr="006D7F2B">
        <w:rPr>
          <w:rFonts w:eastAsia="Arial"/>
        </w:rPr>
        <w:t xml:space="preserve"> values </w:t>
      </w:r>
      <w:r w:rsidR="00B8430B" w:rsidRPr="006D7F2B">
        <w:rPr>
          <w:rFonts w:eastAsia="Arial"/>
        </w:rPr>
        <w:t>[</w:t>
      </w:r>
      <w:r w:rsidR="0076208A">
        <w:rPr>
          <w:rFonts w:eastAsia="Arial"/>
        </w:rPr>
        <w:t>9</w:t>
      </w:r>
      <w:r w:rsidR="00B8430B" w:rsidRPr="006D7F2B">
        <w:rPr>
          <w:rFonts w:eastAsia="Arial"/>
        </w:rPr>
        <w:t>]</w:t>
      </w:r>
    </w:p>
    <w:p w:rsidR="00CF6388" w:rsidRPr="006D7F2B" w:rsidRDefault="00CF6388" w:rsidP="004901BB">
      <w:pPr>
        <w:ind w:firstLine="426"/>
        <w:jc w:val="both"/>
        <w:rPr>
          <w:rFonts w:eastAsia="Arial"/>
        </w:rPr>
      </w:pPr>
    </w:p>
    <w:p w:rsidR="00827E9E" w:rsidRPr="006D7F2B" w:rsidRDefault="00827E9E" w:rsidP="004901BB">
      <w:pPr>
        <w:ind w:firstLine="426"/>
        <w:jc w:val="both"/>
        <w:rPr>
          <w:rFonts w:eastAsia="Arial"/>
        </w:rPr>
      </w:pPr>
      <w:r w:rsidRPr="006D7F2B">
        <w:rPr>
          <w:rFonts w:eastAsia="Arial"/>
        </w:rPr>
        <w:t>The values illustrated in the above figure were issued for the first time by the Center for Curriculum of Research and Development Agency of the Ministry for National Education in 2011</w:t>
      </w:r>
      <w:r w:rsidR="00634A64">
        <w:rPr>
          <w:rFonts w:eastAsia="Arial"/>
        </w:rPr>
        <w:t>[9]</w:t>
      </w:r>
      <w:r w:rsidRPr="006D7F2B">
        <w:rPr>
          <w:rFonts w:eastAsia="Arial"/>
        </w:rPr>
        <w:t>.</w:t>
      </w:r>
      <w:r w:rsidR="00DE1114" w:rsidRPr="006D7F2B">
        <w:rPr>
          <w:rFonts w:eastAsia="Arial"/>
        </w:rPr>
        <w:t xml:space="preserve"> The way chart is laid out, it positions the value of religiousity at the top of the chart. This reflects the main value of the country which is based on religious foundation. This religious foundation can be seen in the first of the five principles </w:t>
      </w:r>
      <w:r w:rsidR="00DE1114" w:rsidRPr="006D7F2B">
        <w:rPr>
          <w:rFonts w:eastAsia="Arial"/>
          <w:i/>
        </w:rPr>
        <w:t>Pancasila</w:t>
      </w:r>
      <w:r w:rsidR="00DE1114" w:rsidRPr="006D7F2B">
        <w:rPr>
          <w:rFonts w:eastAsia="Arial"/>
        </w:rPr>
        <w:t xml:space="preserve">, the foundation of the country. As in the curriculum, the values of religiousity are placed in the first of core competencies </w:t>
      </w:r>
      <w:r w:rsidR="005F0F00" w:rsidRPr="006D7F2B">
        <w:rPr>
          <w:rFonts w:eastAsia="Arial"/>
        </w:rPr>
        <w:t xml:space="preserve">appearing in lesson plans </w:t>
      </w:r>
      <w:r w:rsidR="00DE1114" w:rsidRPr="006D7F2B">
        <w:rPr>
          <w:rFonts w:eastAsia="Arial"/>
        </w:rPr>
        <w:t xml:space="preserve">in each theme and topic being discussed. </w:t>
      </w:r>
      <w:r w:rsidR="001C6746" w:rsidRPr="006D7F2B">
        <w:rPr>
          <w:rFonts w:eastAsia="Arial"/>
        </w:rPr>
        <w:t xml:space="preserve">Then, </w:t>
      </w:r>
      <w:r w:rsidR="00677FD3" w:rsidRPr="006D7F2B">
        <w:rPr>
          <w:rFonts w:eastAsia="Arial"/>
        </w:rPr>
        <w:t xml:space="preserve">the </w:t>
      </w:r>
      <w:r w:rsidR="001C6746" w:rsidRPr="006D7F2B">
        <w:rPr>
          <w:rFonts w:eastAsia="Arial"/>
        </w:rPr>
        <w:t>other 17 values follow</w:t>
      </w:r>
      <w:r w:rsidR="00677FD3" w:rsidRPr="006D7F2B">
        <w:rPr>
          <w:rFonts w:eastAsia="Arial"/>
        </w:rPr>
        <w:t xml:space="preserve"> starting from honesty, tolerant, through to reasonable</w:t>
      </w:r>
      <w:r w:rsidR="001C6746" w:rsidRPr="006D7F2B">
        <w:rPr>
          <w:rFonts w:eastAsia="Arial"/>
        </w:rPr>
        <w:t>.</w:t>
      </w:r>
      <w:r w:rsidR="00175F17" w:rsidRPr="006D7F2B">
        <w:rPr>
          <w:rFonts w:eastAsia="Arial"/>
        </w:rPr>
        <w:t xml:space="preserve"> These values which are encouraged to make the Indonesian students and people become better beings are not exclusively pursued in indonesia. Most of the values are also upheld in</w:t>
      </w:r>
      <w:r w:rsidR="00467716">
        <w:rPr>
          <w:rFonts w:eastAsia="Arial"/>
        </w:rPr>
        <w:t>, for example,</w:t>
      </w:r>
      <w:r w:rsidR="00175F17" w:rsidRPr="006D7F2B">
        <w:rPr>
          <w:rFonts w:eastAsia="Arial"/>
        </w:rPr>
        <w:t xml:space="preserve"> the USA’s education curriculum, except for the religious-based values which are not explicitly stated due to the importance of the state and religion </w:t>
      </w:r>
      <w:r w:rsidR="00467716">
        <w:rPr>
          <w:rFonts w:eastAsia="Arial"/>
        </w:rPr>
        <w:t xml:space="preserve">separation </w:t>
      </w:r>
      <w:r w:rsidR="00175F17" w:rsidRPr="006D7F2B">
        <w:rPr>
          <w:rFonts w:eastAsia="Arial"/>
        </w:rPr>
        <w:t xml:space="preserve">valued in the US and in other more secular countries. According to </w:t>
      </w:r>
      <w:r w:rsidR="00175F17" w:rsidRPr="006D7F2B">
        <w:rPr>
          <w:rFonts w:eastAsia="Arial"/>
          <w:i/>
        </w:rPr>
        <w:t>Character Count USA</w:t>
      </w:r>
      <w:r w:rsidR="00175F17" w:rsidRPr="006D7F2B">
        <w:rPr>
          <w:rFonts w:eastAsia="Arial"/>
        </w:rPr>
        <w:t xml:space="preserve">, there are ten values being pursued in the US, </w:t>
      </w:r>
      <w:r w:rsidR="00175F17" w:rsidRPr="006D7F2B">
        <w:rPr>
          <w:rFonts w:eastAsia="Arial"/>
          <w:i/>
        </w:rPr>
        <w:t xml:space="preserve">trustworthiness, respect, caring, fairness, responsibility, citizenship, honesty, courage, diligence, </w:t>
      </w:r>
      <w:r w:rsidR="00175F17" w:rsidRPr="006D7F2B">
        <w:rPr>
          <w:rFonts w:eastAsia="Arial"/>
        </w:rPr>
        <w:t xml:space="preserve">and </w:t>
      </w:r>
      <w:r w:rsidR="00175F17" w:rsidRPr="006D7F2B">
        <w:rPr>
          <w:rFonts w:eastAsia="Arial"/>
          <w:i/>
        </w:rPr>
        <w:t>integrity</w:t>
      </w:r>
      <w:r w:rsidR="00175F17" w:rsidRPr="006D7F2B">
        <w:rPr>
          <w:rFonts w:eastAsia="Arial"/>
        </w:rPr>
        <w:t xml:space="preserve"> [Character Count]. </w:t>
      </w:r>
      <w:r w:rsidR="00A1205C" w:rsidRPr="006D7F2B">
        <w:rPr>
          <w:rFonts w:eastAsia="Arial"/>
        </w:rPr>
        <w:t>These are no difference from what is upheld in Indonesia. The only problem seems to be the difference in resources for the implementation of these character values.</w:t>
      </w:r>
    </w:p>
    <w:p w:rsidR="00827E9E" w:rsidRPr="006D7F2B" w:rsidRDefault="00827E9E" w:rsidP="004901BB">
      <w:pPr>
        <w:ind w:firstLine="426"/>
        <w:jc w:val="both"/>
        <w:rPr>
          <w:rFonts w:eastAsia="Arial"/>
        </w:rPr>
      </w:pPr>
    </w:p>
    <w:p w:rsidR="00191C78" w:rsidRDefault="001C6746" w:rsidP="004901BB">
      <w:pPr>
        <w:ind w:firstLine="426"/>
        <w:jc w:val="both"/>
        <w:rPr>
          <w:rFonts w:eastAsia="Arial"/>
        </w:rPr>
      </w:pPr>
      <w:r w:rsidRPr="006D7F2B">
        <w:rPr>
          <w:rFonts w:eastAsia="Arial"/>
        </w:rPr>
        <w:t xml:space="preserve">All of these values are expected to be </w:t>
      </w:r>
      <w:r w:rsidR="00191C78" w:rsidRPr="006D7F2B">
        <w:rPr>
          <w:rFonts w:eastAsia="Arial"/>
        </w:rPr>
        <w:t xml:space="preserve">realized </w:t>
      </w:r>
      <w:r w:rsidR="00734D57" w:rsidRPr="006D7F2B">
        <w:rPr>
          <w:rFonts w:eastAsia="Arial"/>
        </w:rPr>
        <w:t xml:space="preserve">in </w:t>
      </w:r>
      <w:r w:rsidR="00191C78" w:rsidRPr="006D7F2B">
        <w:rPr>
          <w:rFonts w:eastAsia="Arial"/>
        </w:rPr>
        <w:t xml:space="preserve">the macro and micro contexts of character bulding </w:t>
      </w:r>
      <w:r w:rsidR="00211916" w:rsidRPr="006D7F2B">
        <w:rPr>
          <w:rFonts w:eastAsia="Arial"/>
        </w:rPr>
        <w:t>defined</w:t>
      </w:r>
      <w:r w:rsidR="00191C78" w:rsidRPr="006D7F2B">
        <w:rPr>
          <w:rFonts w:eastAsia="Arial"/>
        </w:rPr>
        <w:t xml:space="preserve"> in </w:t>
      </w:r>
      <w:r w:rsidR="00953213" w:rsidRPr="006D7F2B">
        <w:rPr>
          <w:rFonts w:eastAsia="Arial"/>
        </w:rPr>
        <w:t xml:space="preserve">the curriculum </w:t>
      </w:r>
      <w:r w:rsidR="00B8430B" w:rsidRPr="006D7F2B">
        <w:rPr>
          <w:rFonts w:eastAsia="Arial"/>
        </w:rPr>
        <w:t>by the ministry [</w:t>
      </w:r>
      <w:r w:rsidR="00634A64">
        <w:rPr>
          <w:rFonts w:eastAsia="Arial"/>
        </w:rPr>
        <w:t>9</w:t>
      </w:r>
      <w:r w:rsidR="00B8430B" w:rsidRPr="006D7F2B">
        <w:rPr>
          <w:rFonts w:eastAsia="Arial"/>
        </w:rPr>
        <w:t>]</w:t>
      </w:r>
      <w:r w:rsidR="00EE6EA4" w:rsidRPr="006D7F2B">
        <w:rPr>
          <w:rFonts w:eastAsia="Arial"/>
        </w:rPr>
        <w:t>. The mic</w:t>
      </w:r>
      <w:r w:rsidR="00191C78" w:rsidRPr="006D7F2B">
        <w:rPr>
          <w:rFonts w:eastAsia="Arial"/>
        </w:rPr>
        <w:t>ro and macro</w:t>
      </w:r>
      <w:r w:rsidR="00EE6EA4" w:rsidRPr="006D7F2B">
        <w:rPr>
          <w:rFonts w:eastAsia="Arial"/>
        </w:rPr>
        <w:t xml:space="preserve"> are presented in the following figures.</w:t>
      </w:r>
      <w:r w:rsidR="00211916" w:rsidRPr="006D7F2B">
        <w:rPr>
          <w:rFonts w:eastAsia="Arial"/>
        </w:rPr>
        <w:t xml:space="preserve"> </w:t>
      </w:r>
    </w:p>
    <w:p w:rsidR="00F32307" w:rsidRDefault="00F32307" w:rsidP="004901BB">
      <w:pPr>
        <w:ind w:firstLine="426"/>
        <w:jc w:val="both"/>
        <w:rPr>
          <w:rFonts w:eastAsia="Arial"/>
        </w:rPr>
      </w:pPr>
    </w:p>
    <w:p w:rsidR="00F32307" w:rsidRPr="006D7F2B" w:rsidRDefault="00F32307" w:rsidP="004901BB">
      <w:pPr>
        <w:ind w:firstLine="426"/>
        <w:jc w:val="both"/>
        <w:rPr>
          <w:rFonts w:eastAsia="Arial"/>
        </w:rPr>
      </w:pPr>
    </w:p>
    <w:p w:rsidR="00211916" w:rsidRPr="006D7F2B" w:rsidRDefault="00211916" w:rsidP="004901BB">
      <w:pPr>
        <w:ind w:firstLine="426"/>
        <w:jc w:val="both"/>
        <w:rPr>
          <w:rFonts w:eastAsia="Arial"/>
        </w:rPr>
      </w:pPr>
    </w:p>
    <w:p w:rsidR="00EE6EA4" w:rsidRPr="006D7F2B" w:rsidRDefault="006215D9" w:rsidP="004901BB">
      <w:pPr>
        <w:ind w:firstLine="426"/>
        <w:jc w:val="both"/>
        <w:rPr>
          <w:rFonts w:eastAsia="Arial"/>
        </w:rPr>
      </w:pPr>
      <w:r>
        <w:rPr>
          <w:rFonts w:eastAsia="Arial"/>
          <w:noProof/>
          <w:lang w:eastAsia="zh-TW"/>
        </w:rPr>
        <w:lastRenderedPageBreak/>
        <w:pict>
          <v:shape id="_x0000_s1027" type="#_x0000_t202" style="position:absolute;left:0;text-align:left;margin-left:22pt;margin-top:5.75pt;width:207.05pt;height:121.1pt;z-index:1;mso-width-percent:400;mso-height-percent:200;mso-width-percent:400;mso-height-percent:200;mso-width-relative:margin;mso-height-relative:margin">
            <v:textbox style="mso-fit-shape-to-text:t">
              <w:txbxContent>
                <w:p w:rsidR="005B7E59" w:rsidRDefault="006215D9">
                  <w:r>
                    <w:pict>
                      <v:shape id="Picture 1" o:spid="_x0000_i1028" type="#_x0000_t75" style="width:192pt;height:113.25pt;visibility:visible">
                        <v:imagedata r:id="rId10" o:title=""/>
                      </v:shape>
                    </w:pict>
                  </w:r>
                </w:p>
              </w:txbxContent>
            </v:textbox>
          </v:shape>
        </w:pict>
      </w:r>
    </w:p>
    <w:p w:rsidR="00EE6EA4" w:rsidRPr="006D7F2B" w:rsidRDefault="00EE6EA4" w:rsidP="004901BB">
      <w:pPr>
        <w:ind w:firstLine="426"/>
        <w:jc w:val="both"/>
        <w:rPr>
          <w:rFonts w:eastAsia="Arial"/>
        </w:rPr>
      </w:pPr>
    </w:p>
    <w:p w:rsidR="00EE6EA4" w:rsidRPr="006D7F2B" w:rsidRDefault="00EE6EA4" w:rsidP="004901BB">
      <w:pPr>
        <w:ind w:firstLine="426"/>
        <w:jc w:val="both"/>
        <w:rPr>
          <w:rFonts w:eastAsia="Arial"/>
        </w:rPr>
      </w:pPr>
    </w:p>
    <w:p w:rsidR="00EE6EA4" w:rsidRPr="006D7F2B" w:rsidRDefault="00EE6EA4" w:rsidP="004901BB">
      <w:pPr>
        <w:ind w:firstLine="426"/>
        <w:jc w:val="both"/>
        <w:rPr>
          <w:rFonts w:eastAsia="Arial"/>
        </w:rPr>
      </w:pPr>
    </w:p>
    <w:p w:rsidR="00EE6EA4" w:rsidRPr="006D7F2B" w:rsidRDefault="00EE6EA4" w:rsidP="004901BB">
      <w:pPr>
        <w:ind w:firstLine="426"/>
        <w:jc w:val="both"/>
        <w:rPr>
          <w:rFonts w:eastAsia="Arial"/>
        </w:rPr>
      </w:pPr>
    </w:p>
    <w:p w:rsidR="00EE6EA4" w:rsidRPr="006D7F2B" w:rsidRDefault="00EE6EA4" w:rsidP="004901BB">
      <w:pPr>
        <w:ind w:firstLine="426"/>
        <w:jc w:val="both"/>
      </w:pPr>
    </w:p>
    <w:p w:rsidR="00EE6EA4" w:rsidRPr="006D7F2B" w:rsidRDefault="00EE6EA4" w:rsidP="004901BB">
      <w:pPr>
        <w:ind w:firstLine="426"/>
        <w:jc w:val="both"/>
      </w:pPr>
    </w:p>
    <w:p w:rsidR="00EE6EA4" w:rsidRPr="006D7F2B" w:rsidRDefault="00EE6EA4" w:rsidP="004901BB">
      <w:pPr>
        <w:ind w:firstLine="426"/>
        <w:jc w:val="both"/>
      </w:pPr>
    </w:p>
    <w:p w:rsidR="00EE6EA4" w:rsidRPr="006D7F2B" w:rsidRDefault="00EE6EA4" w:rsidP="004901BB">
      <w:pPr>
        <w:ind w:firstLine="426"/>
        <w:jc w:val="both"/>
      </w:pPr>
    </w:p>
    <w:p w:rsidR="00EE6EA4" w:rsidRPr="006D7F2B" w:rsidRDefault="00EE6EA4" w:rsidP="004901BB">
      <w:pPr>
        <w:ind w:firstLine="426"/>
        <w:jc w:val="both"/>
      </w:pPr>
    </w:p>
    <w:p w:rsidR="00EE6EA4" w:rsidRPr="006D7F2B" w:rsidRDefault="00EE6EA4" w:rsidP="004901BB">
      <w:pPr>
        <w:ind w:firstLine="426"/>
        <w:jc w:val="both"/>
      </w:pPr>
    </w:p>
    <w:p w:rsidR="00EE6EA4" w:rsidRPr="006D7F2B" w:rsidRDefault="00EE6EA4" w:rsidP="004901BB">
      <w:pPr>
        <w:ind w:firstLine="426"/>
        <w:jc w:val="both"/>
      </w:pPr>
    </w:p>
    <w:p w:rsidR="00EE6EA4" w:rsidRPr="006D7F2B" w:rsidRDefault="00EE6EA4" w:rsidP="004901BB">
      <w:pPr>
        <w:ind w:firstLine="426"/>
        <w:jc w:val="both"/>
      </w:pPr>
    </w:p>
    <w:p w:rsidR="002727B5" w:rsidRDefault="00445A75" w:rsidP="004901BB">
      <w:pPr>
        <w:ind w:firstLine="426"/>
        <w:jc w:val="both"/>
      </w:pPr>
      <w:r w:rsidRPr="006D7F2B">
        <w:rPr>
          <w:b/>
        </w:rPr>
        <w:t>Figure 2</w:t>
      </w:r>
      <w:r w:rsidR="00EE6EA4" w:rsidRPr="006D7F2B">
        <w:t xml:space="preserve"> The Macro Context of Student Character </w:t>
      </w:r>
    </w:p>
    <w:p w:rsidR="00EE6EA4" w:rsidRPr="006D7F2B" w:rsidRDefault="002727B5" w:rsidP="002727B5">
      <w:pPr>
        <w:ind w:left="720"/>
        <w:jc w:val="both"/>
      </w:pPr>
      <w:r>
        <w:t xml:space="preserve">         </w:t>
      </w:r>
      <w:r w:rsidR="00EE6EA4" w:rsidRPr="006D7F2B">
        <w:t>Buiding</w:t>
      </w:r>
    </w:p>
    <w:p w:rsidR="00EE6EA4" w:rsidRPr="006D7F2B" w:rsidRDefault="00EE6EA4" w:rsidP="004901BB">
      <w:pPr>
        <w:ind w:firstLine="426"/>
        <w:jc w:val="both"/>
      </w:pPr>
    </w:p>
    <w:p w:rsidR="00EE6EA4" w:rsidRPr="006D7F2B" w:rsidRDefault="00445A75" w:rsidP="004901BB">
      <w:pPr>
        <w:ind w:firstLine="426"/>
        <w:jc w:val="both"/>
      </w:pPr>
      <w:r w:rsidRPr="006D7F2B">
        <w:t>Figure 2</w:t>
      </w:r>
      <w:r w:rsidR="00EE6EA4" w:rsidRPr="006D7F2B">
        <w:t xml:space="preserve"> shows that the Indonesian values of characters are contributed by theoretical foundations which include educational theories, theories of psychology, and socio-cultural values. The character </w:t>
      </w:r>
      <w:r w:rsidR="001D561F" w:rsidRPr="006D7F2B">
        <w:t>values also take into account the legal foundations of the state, and these include religious values, the State Constitutions 1945, and Law No 20 f 2003 regarding th National Education System. Consideration was also the Graduate Compete</w:t>
      </w:r>
      <w:r w:rsidRPr="006D7F2B">
        <w:t>n</w:t>
      </w:r>
      <w:r w:rsidR="001D561F" w:rsidRPr="006D7F2B">
        <w:t>cy Standars prescribed in the Ministry Regulation No 21 of 2016</w:t>
      </w:r>
      <w:r w:rsidR="00681223">
        <w:t xml:space="preserve"> [10]</w:t>
      </w:r>
      <w:r w:rsidR="001D561F" w:rsidRPr="006D7F2B">
        <w:t xml:space="preserve">. In the actualization, these character values are implemented through a process of enculturation an empowerment which comprise intervention and habituation. This implementation is supported through the instruments of policies, guidelines, resources, environment, infrastructure, collaboration, and commitment of stakeholders. </w:t>
      </w:r>
      <w:r w:rsidR="00E43B50" w:rsidRPr="006D7F2B">
        <w:t>The outcome expected from the process is a set of behaviours that are guided by the upheld character values.</w:t>
      </w:r>
    </w:p>
    <w:p w:rsidR="00E43B50" w:rsidRPr="006D7F2B" w:rsidRDefault="00734D57" w:rsidP="004901BB">
      <w:pPr>
        <w:ind w:firstLine="426"/>
        <w:jc w:val="both"/>
      </w:pPr>
      <w:r w:rsidRPr="006D7F2B">
        <w:t xml:space="preserve">A more detailed implementation scheme is also given to implant these </w:t>
      </w:r>
      <w:r w:rsidR="00211916" w:rsidRPr="006D7F2B">
        <w:t xml:space="preserve">character values into students, especially on how a school can operationalize the implementation. </w:t>
      </w:r>
      <w:r w:rsidR="003C7A2E" w:rsidRPr="006D7F2B">
        <w:t>This operationalization is referred to as the micro context of character building. The character values that are listed in Figure 1 above are implanted through 4 stages: learning activities, school culture, extracurricular activities, and home and community daily activities [</w:t>
      </w:r>
      <w:r w:rsidR="0076208A">
        <w:t>9</w:t>
      </w:r>
      <w:r w:rsidR="003C7A2E" w:rsidRPr="006D7F2B">
        <w:t>].</w:t>
      </w:r>
    </w:p>
    <w:p w:rsidR="00445A75" w:rsidRPr="006D7F2B" w:rsidRDefault="00653950" w:rsidP="004901BB">
      <w:pPr>
        <w:ind w:firstLine="426"/>
        <w:jc w:val="both"/>
      </w:pPr>
      <w:r w:rsidRPr="006D7F2B">
        <w:t>The framework is based on o</w:t>
      </w:r>
      <w:r w:rsidR="00445974" w:rsidRPr="006D7F2B">
        <w:t xml:space="preserve">ne of the legal foundations for the implementation of character education in Indonesia </w:t>
      </w:r>
      <w:r w:rsidR="002727B5">
        <w:t xml:space="preserve">which is </w:t>
      </w:r>
      <w:r w:rsidR="00445974" w:rsidRPr="006D7F2B">
        <w:t xml:space="preserve">Law No 20 of 2003 regarding the National Education System </w:t>
      </w:r>
      <w:r w:rsidR="0076208A">
        <w:t>[8]</w:t>
      </w:r>
      <w:r w:rsidR="00445974" w:rsidRPr="006D7F2B">
        <w:t xml:space="preserve">. In Article 3 of the law it is stated </w:t>
      </w:r>
    </w:p>
    <w:p w:rsidR="00175F17" w:rsidRPr="006D7F2B" w:rsidRDefault="00175F17" w:rsidP="004901BB">
      <w:pPr>
        <w:ind w:firstLine="426"/>
        <w:jc w:val="both"/>
      </w:pPr>
    </w:p>
    <w:p w:rsidR="00445974" w:rsidRPr="006D7F2B" w:rsidRDefault="00445974" w:rsidP="00445974">
      <w:pPr>
        <w:ind w:left="426"/>
        <w:jc w:val="both"/>
        <w:rPr>
          <w:color w:val="000000"/>
        </w:rPr>
      </w:pPr>
      <w:r w:rsidRPr="006D7F2B">
        <w:rPr>
          <w:i/>
          <w:color w:val="000000"/>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211916" w:rsidRPr="006D7F2B" w:rsidRDefault="00211916" w:rsidP="001B72CC">
      <w:pPr>
        <w:jc w:val="both"/>
      </w:pPr>
    </w:p>
    <w:p w:rsidR="001B72CC" w:rsidRPr="006D7F2B" w:rsidRDefault="001B72CC" w:rsidP="001B72CC">
      <w:pPr>
        <w:pStyle w:val="HTMLPreformatted"/>
        <w:tabs>
          <w:tab w:val="left" w:pos="426"/>
        </w:tabs>
        <w:jc w:val="both"/>
        <w:rPr>
          <w:rFonts w:ascii="Times New Roman" w:hAnsi="Times New Roman"/>
        </w:rPr>
      </w:pPr>
      <w:r w:rsidRPr="006D7F2B">
        <w:rPr>
          <w:rFonts w:ascii="Times New Roman" w:hAnsi="Times New Roman"/>
          <w:color w:val="000000"/>
        </w:rPr>
        <w:tab/>
        <w:t xml:space="preserve"> “</w:t>
      </w:r>
      <w:r w:rsidRPr="006D7F2B">
        <w:rPr>
          <w:rFonts w:ascii="Times New Roman" w:hAnsi="Times New Roman"/>
        </w:rPr>
        <w:t xml:space="preserve">National education is aimed at developing capabilities and shaping the nation's character and civilization with dignity </w:t>
      </w:r>
      <w:r w:rsidRPr="006D7F2B">
        <w:rPr>
          <w:rFonts w:ascii="Times New Roman" w:hAnsi="Times New Roman"/>
        </w:rPr>
        <w:lastRenderedPageBreak/>
        <w:t>in the effort of educating the nation, developing the potential of students to become human beings who believe in and fear God Almighty, noble, healthy, knowledgeable, skilled, creative, and independent in order to become democratic and responsible citizens.</w:t>
      </w:r>
      <w:r w:rsidRPr="006D7F2B">
        <w:rPr>
          <w:rFonts w:ascii="Times New Roman" w:hAnsi="Times New Roman"/>
          <w:color w:val="000000"/>
        </w:rPr>
        <w:t xml:space="preserve">” </w:t>
      </w:r>
    </w:p>
    <w:p w:rsidR="001B72CC" w:rsidRPr="006D7F2B" w:rsidRDefault="001B72CC" w:rsidP="004901BB">
      <w:pPr>
        <w:ind w:firstLine="426"/>
        <w:jc w:val="both"/>
      </w:pPr>
    </w:p>
    <w:p w:rsidR="004901BB" w:rsidRPr="006D7F2B" w:rsidRDefault="004901BB" w:rsidP="00BA41BC">
      <w:pPr>
        <w:jc w:val="both"/>
        <w:rPr>
          <w:b/>
        </w:rPr>
      </w:pPr>
      <w:r w:rsidRPr="006D7F2B">
        <w:rPr>
          <w:b/>
        </w:rPr>
        <w:t>The importance of character education</w:t>
      </w:r>
    </w:p>
    <w:p w:rsidR="00BA41BC" w:rsidRPr="006D7F2B" w:rsidRDefault="00BA41BC" w:rsidP="00BA41BC">
      <w:pPr>
        <w:ind w:firstLine="426"/>
        <w:jc w:val="both"/>
      </w:pPr>
      <w:r w:rsidRPr="006D7F2B">
        <w:t>Most people perceived that charater education as a reaction to the detrimental nature of young people’s moral. While not denying the urgency to fix the problem, character education should not only be reactionary but something to strive for better beings, build better nation, people, and more importantly, better humanity.</w:t>
      </w:r>
    </w:p>
    <w:p w:rsidR="00325FA1" w:rsidRDefault="00C837D9" w:rsidP="005B7E59">
      <w:pPr>
        <w:ind w:firstLine="426"/>
        <w:jc w:val="both"/>
      </w:pPr>
      <w:r w:rsidRPr="006D7F2B">
        <w:t>The narative of the importance of character education has always focused on two directions. One is looking back and the other is looking ahead. The first reflect on the behavior problems of the students. The other predicts the need of students in facing the ever</w:t>
      </w:r>
      <w:r w:rsidR="00AB6185" w:rsidRPr="006D7F2B">
        <w:t>-</w:t>
      </w:r>
      <w:r w:rsidRPr="006D7F2B">
        <w:t>changing world, both at school and in real life.</w:t>
      </w:r>
      <w:r w:rsidR="00AB6185" w:rsidRPr="006D7F2B">
        <w:t xml:space="preserve"> In Indonesia any discussion of the importance of character education usually portrays setbacks in the education system, especially the behavior and competency problems of students. Among others include teachers’ poor competence, students’ low mastery of STEM subjects, low literacy habits, violence committed by students, and a number of other problems [</w:t>
      </w:r>
      <w:r w:rsidR="00933ACB">
        <w:t>5</w:t>
      </w:r>
      <w:r w:rsidR="00AB6185" w:rsidRPr="006D7F2B">
        <w:t xml:space="preserve">]. </w:t>
      </w:r>
      <w:r w:rsidR="00325FA1">
        <w:t>Sometimes more seriously and spoecifically eleborated violence committed by students was also part of the narrative. Zubaedi, for example, stresses the importance of character building by relating it to the moral decadence among teenagers and young people [</w:t>
      </w:r>
      <w:r w:rsidR="00CE2132">
        <w:t>11</w:t>
      </w:r>
      <w:r w:rsidR="00325FA1" w:rsidRPr="00A54E31">
        <w:t>].</w:t>
      </w:r>
      <w:r w:rsidR="00A54E31" w:rsidRPr="00A54E31">
        <w:rPr>
          <w:rFonts w:cstheme="majorBidi"/>
          <w:szCs w:val="24"/>
        </w:rPr>
        <w:t xml:space="preserve"> These violence includes free sex, the increasing rate of violence among children and teenagers, acting violently against friends, theft, cheating in exams, drug abuse, pornography, rape, and vandalism. These according to Zubaedi have become social problems which have not been properly addressed. High hope is being put on the implementation of K-13</w:t>
      </w:r>
      <w:r w:rsidR="00CE2132">
        <w:rPr>
          <w:rFonts w:cstheme="majorBidi"/>
          <w:szCs w:val="24"/>
        </w:rPr>
        <w:t xml:space="preserve"> [11</w:t>
      </w:r>
      <w:r w:rsidR="00A54E31">
        <w:rPr>
          <w:rFonts w:cstheme="majorBidi"/>
          <w:szCs w:val="24"/>
        </w:rPr>
        <w:t>]</w:t>
      </w:r>
      <w:r w:rsidR="00325FA1">
        <w:t xml:space="preserve"> </w:t>
      </w:r>
    </w:p>
    <w:p w:rsidR="004901BB" w:rsidRPr="006D7F2B" w:rsidRDefault="00AB6185" w:rsidP="004901BB">
      <w:pPr>
        <w:ind w:firstLine="426"/>
        <w:jc w:val="both"/>
      </w:pPr>
      <w:r w:rsidRPr="006D7F2B">
        <w:t>This reflection on current behaviour problems in the background is also the case in the United States. For example, a school administrator used the reflection of past year problems to emphasize the importance of character education. As reported, she received an increase number in incident reports and behavior visits to her office. The problems with students’ behaviour include a lack of sportmanship and collaboration, emotional meltdowns, disrespectful peer arguments, and bullying from ‘ring leaders’ among students. [Dodds effect]</w:t>
      </w:r>
      <w:r w:rsidR="00F95059" w:rsidRPr="006D7F2B">
        <w:t xml:space="preserve"> in both Indonesian and the US cases, it shows that the importance or the rationale of the introduction and implementation of character education is a reaction to the existing situation concerning with students’ achievement and behavior. </w:t>
      </w:r>
    </w:p>
    <w:p w:rsidR="00F95059" w:rsidRPr="006D7F2B" w:rsidRDefault="00F95059" w:rsidP="004901BB">
      <w:pPr>
        <w:ind w:firstLine="426"/>
        <w:jc w:val="both"/>
      </w:pPr>
      <w:r w:rsidRPr="006D7F2B">
        <w:t>The importance of character education is also portrayed as a look-ahead perspective, meaning that there is a need for anticipation and preparation of students in order to be able to deal with problems in the 21</w:t>
      </w:r>
      <w:r w:rsidRPr="006D7F2B">
        <w:rPr>
          <w:vertAlign w:val="superscript"/>
        </w:rPr>
        <w:t>st</w:t>
      </w:r>
      <w:r w:rsidRPr="006D7F2B">
        <w:t xml:space="preserve"> century. In Indonesian K-13, this is one of the major emphasis made by the Ministry of Education and Culture. In a specific regulation, Permendikbud No 20 of 2016, the ministry laid out the criteria regarding the competence and qualification of school graduates which </w:t>
      </w:r>
      <w:r w:rsidRPr="006D7F2B">
        <w:lastRenderedPageBreak/>
        <w:t xml:space="preserve">covers the aspects of attitude and behavior knowledge, and skills. </w:t>
      </w:r>
      <w:r w:rsidR="00BA41BC" w:rsidRPr="006D7F2B">
        <w:t>Special attention is given to the 21</w:t>
      </w:r>
      <w:r w:rsidR="00BA41BC" w:rsidRPr="006D7F2B">
        <w:rPr>
          <w:vertAlign w:val="superscript"/>
        </w:rPr>
        <w:t>st</w:t>
      </w:r>
      <w:r w:rsidR="00BA41BC" w:rsidRPr="006D7F2B">
        <w:t xml:space="preserve"> century skills. The guide classifies these skills into four categories: learning </w:t>
      </w:r>
      <w:r w:rsidR="00DA646B" w:rsidRPr="006D7F2B">
        <w:t xml:space="preserve"> </w:t>
      </w:r>
      <w:r w:rsidR="00BA41BC" w:rsidRPr="006D7F2B">
        <w:t>ability and innovation, digital literacy, life skills, and moral characters. Learning ability and innovation revolve around critical thinking and problem solving, creativity and innovation, communication and collaboration. Digital literacy includes graduates’ demonstration of information literacy, media literacy, technological literacy. Meanwhile, life skills that are required of the graduates are flexibility and adaptability, initiave and independence, intersocio-cultural interaction, productivity and accountability, and leadership and responsibility [</w:t>
      </w:r>
      <w:r w:rsidR="00681223">
        <w:t>10</w:t>
      </w:r>
      <w:r w:rsidR="00BA41BC" w:rsidRPr="006D7F2B">
        <w:t>]. As for the moral characters, they are as presented in Figure 1 above.</w:t>
      </w:r>
    </w:p>
    <w:p w:rsidR="004901BB" w:rsidRPr="006D7F2B" w:rsidRDefault="00BA41BC" w:rsidP="004901BB">
      <w:pPr>
        <w:ind w:firstLine="426"/>
        <w:jc w:val="both"/>
      </w:pPr>
      <w:r w:rsidRPr="006D7F2B">
        <w:t>At the conceptual level, the attitude and behavior expected of the graduates include social and spiritual elements; spritual being believing and fearing the one God, and social being well-charactered, honest, caring responsible, life-long learning</w:t>
      </w:r>
      <w:r w:rsidR="000220BD" w:rsidRPr="006D7F2B">
        <w:t xml:space="preserve">, </w:t>
      </w:r>
      <w:r w:rsidRPr="006D7F2B">
        <w:t xml:space="preserve">physically and psychologically healthy. </w:t>
      </w:r>
      <w:r w:rsidR="000220BD" w:rsidRPr="006D7F2B">
        <w:t>In terms of knowledge, the curriculum requires graduates to master conceptual and factual knowledge and procedural and metacognitif knowledge. Factual knowledge includes remembering terms, names of objects people, numbers, years, and other names and terms related to each subject. Conceptual knowledge refers to understanding categories, classification, relation between categories, law of cause and effect, definitions and theories.</w:t>
      </w:r>
      <w:r w:rsidR="00DA646B" w:rsidRPr="006D7F2B">
        <w:t xml:space="preserve"> procedural knowledge is concerning with understanding of specific procedures and processes in any given subjects such as algorithm, techniques, methods, and criterias to determine the accurate application of a procedure.</w:t>
      </w:r>
      <w:r w:rsidR="000D0BD7" w:rsidRPr="006D7F2B">
        <w:t xml:space="preserve"> Metacognitif knowledge refers to the understanding of learning how to learn, strategic knowledge, that is knowing which is and which is not important knowledge, contextual knowledge, and knowledge about self (self-knowledge).</w:t>
      </w:r>
    </w:p>
    <w:p w:rsidR="000A4A88" w:rsidRPr="006D7F2B" w:rsidRDefault="0039488B" w:rsidP="004901BB">
      <w:pPr>
        <w:ind w:firstLine="426"/>
        <w:jc w:val="both"/>
      </w:pPr>
      <w:r w:rsidRPr="006D7F2B">
        <w:t>In terms of life skills, the curriculum prescribes two kinds of skills, thinking skills and doing skills. Both subsequently will reflect in six character-values: creative, productive, critical, independent, collaborative or team work skill, and communicative. As earlier mentioned, these skills are to be acquired through their integration into each individual subject in which scientific methods are encouraged so that these values can be gradually habituated</w:t>
      </w:r>
      <w:r w:rsidR="00231018" w:rsidRPr="006D7F2B">
        <w:t xml:space="preserve"> [permendikbud</w:t>
      </w:r>
      <w:bookmarkStart w:id="0" w:name="_GoBack"/>
      <w:bookmarkEnd w:id="0"/>
      <w:r w:rsidR="00231018" w:rsidRPr="006D7F2B">
        <w:t>]</w:t>
      </w:r>
      <w:r w:rsidRPr="006D7F2B">
        <w:t>.</w:t>
      </w:r>
      <w:r w:rsidR="003E6434" w:rsidRPr="006D7F2B">
        <w:t xml:space="preserve"> </w:t>
      </w:r>
    </w:p>
    <w:p w:rsidR="00735051" w:rsidRPr="006D7F2B" w:rsidRDefault="003E6434" w:rsidP="00735051">
      <w:pPr>
        <w:autoSpaceDE w:val="0"/>
        <w:autoSpaceDN w:val="0"/>
        <w:adjustRightInd w:val="0"/>
        <w:ind w:firstLine="426"/>
        <w:jc w:val="both"/>
      </w:pPr>
      <w:r w:rsidRPr="006D7F2B">
        <w:t>In the curriculum and teaching and learning process, all of the values are allocated in the following breakdown</w:t>
      </w:r>
      <w:r w:rsidR="000A4A88" w:rsidRPr="006D7F2B">
        <w:t xml:space="preserve"> of </w:t>
      </w:r>
      <w:r w:rsidR="000A4A88" w:rsidRPr="006D7F2B">
        <w:rPr>
          <w:i/>
        </w:rPr>
        <w:t xml:space="preserve">Kompetensi Inti </w:t>
      </w:r>
      <w:r w:rsidR="000A4A88" w:rsidRPr="006D7F2B">
        <w:t xml:space="preserve">and </w:t>
      </w:r>
      <w:r w:rsidR="000A4A88" w:rsidRPr="006D7F2B">
        <w:rPr>
          <w:i/>
        </w:rPr>
        <w:t xml:space="preserve">Kompetensi Dasar </w:t>
      </w:r>
      <w:r w:rsidR="000A4A88" w:rsidRPr="006D7F2B">
        <w:t>‘Core Competencies and Basic Competencies’ (abbreviated as KI-1 to KI-4</w:t>
      </w:r>
      <w:r w:rsidR="00CD3455" w:rsidRPr="006D7F2B">
        <w:t xml:space="preserve"> and KD-1 to KD-4</w:t>
      </w:r>
      <w:r w:rsidR="000A4A88" w:rsidRPr="006D7F2B">
        <w:t>)</w:t>
      </w:r>
      <w:r w:rsidRPr="006D7F2B">
        <w:t>.</w:t>
      </w:r>
      <w:r w:rsidR="00735051" w:rsidRPr="006D7F2B">
        <w:t xml:space="preserve"> KI-1 is designed for spiritual competence, KI-2 for social competence, KI-3 refers to knowledge competence and KI-4 is for learning process through with the KI-3, KI-2 and KI-1 can be observed. The learning paradigm encompass direct and indirect learning model, and indirect learning model refers to KI-1 and KI-2. These two competences have no specific learning materials as it is integrated into cognitive and psychomotor domains. This formulation is aimed at reducing or eliminating verbalism in learning. Basic Competence which </w:t>
      </w:r>
      <w:r w:rsidR="00735051" w:rsidRPr="006D7F2B">
        <w:lastRenderedPageBreak/>
        <w:t xml:space="preserve">is abbreviated with KD is the reference for teachers to develop achievement indicators. KD in KI-1 and KI-2 is the accumulation of KD in KI-3 and KI-4. KD in KI-3 is linear with KD in KI-4 and the number of KD in KI-3 is equally sized with the number of KD in KI-4. To map, KD3.1 for example is associated with KD4.1, KD3.2 is associated with KD4.3, and so forth. The learning materials in KD3.1 is taught in KD4.1 and for this reason the number of KD in KI-3 should be equal with the number of KD in KI-4. However, in certain cases, KD in KI-3 is not always linear with KDs in KI-4 as the learning steps in KDs of KI-4 cover some KDs in KI-3. It means that a KD in KI-4 can cover some KDs in KI-3 [in Djuwairiah Ahmad]. </w:t>
      </w:r>
    </w:p>
    <w:p w:rsidR="004901BB" w:rsidRPr="006D7F2B" w:rsidRDefault="008C33DD" w:rsidP="004901BB">
      <w:pPr>
        <w:ind w:firstLine="426"/>
        <w:jc w:val="both"/>
      </w:pPr>
      <w:r>
        <w:t xml:space="preserve">Curriculum 2013 of Indonesia has frequently been associated with charcter curriculum for its emphasis on development of students character. </w:t>
      </w:r>
      <w:r w:rsidR="00F61A18" w:rsidRPr="006D7F2B">
        <w:t>While arguments for the implementation of K-13 are already offered and made available</w:t>
      </w:r>
      <w:r w:rsidR="0061213C">
        <w:t xml:space="preserve"> [see </w:t>
      </w:r>
      <w:r w:rsidR="00283C19" w:rsidRPr="006D7F2B">
        <w:t xml:space="preserve">e.g. </w:t>
      </w:r>
      <w:r w:rsidR="0061213C">
        <w:t>5]</w:t>
      </w:r>
      <w:r w:rsidR="00F61A18" w:rsidRPr="006D7F2B">
        <w:t xml:space="preserve">, they are mostly based on conviction and prediction relying only on intuitive judgment. This research offers to provide evidence </w:t>
      </w:r>
      <w:r w:rsidR="00E52C73" w:rsidRPr="006D7F2B">
        <w:t xml:space="preserve">that </w:t>
      </w:r>
      <w:r w:rsidR="00F61A18" w:rsidRPr="006D7F2B">
        <w:t xml:space="preserve">the implementation of K-13 and teachers’ understanding of the curriculum both partially and jointly </w:t>
      </w:r>
      <w:r w:rsidR="00E52C73" w:rsidRPr="006D7F2B">
        <w:t xml:space="preserve">influence the characters of the students. This is </w:t>
      </w:r>
      <w:r w:rsidR="004901BB" w:rsidRPr="006D7F2B">
        <w:t xml:space="preserve">to remove </w:t>
      </w:r>
      <w:r w:rsidR="002727B5">
        <w:t>or at least reduce the doubt for the C</w:t>
      </w:r>
      <w:r w:rsidR="004901BB" w:rsidRPr="006D7F2B">
        <w:t>urriculum 13 as unrealistic, pessimistic, and preoccupied with the notion that any upgrade of the curriculum especial</w:t>
      </w:r>
      <w:r w:rsidR="00116F3B" w:rsidRPr="006D7F2B">
        <w:t xml:space="preserve">ly with a new name is political, which is manifested in the pessimistic rhetoric common in Indonesia </w:t>
      </w:r>
      <w:r w:rsidR="00116F3B" w:rsidRPr="006D7F2B">
        <w:rPr>
          <w:i/>
        </w:rPr>
        <w:t>ganti menteri, ganti kurikulum</w:t>
      </w:r>
      <w:r w:rsidR="002727B5">
        <w:t xml:space="preserve"> ‘a different minister</w:t>
      </w:r>
      <w:r w:rsidR="00116F3B" w:rsidRPr="006D7F2B">
        <w:t xml:space="preserve"> with a different curriculum</w:t>
      </w:r>
      <w:r w:rsidR="002727B5">
        <w:t xml:space="preserve"> name</w:t>
      </w:r>
      <w:r w:rsidR="00116F3B" w:rsidRPr="006D7F2B">
        <w:t xml:space="preserve">.’ The same pessimism is sometimes </w:t>
      </w:r>
      <w:r w:rsidR="004901BB" w:rsidRPr="006D7F2B">
        <w:t xml:space="preserve"> </w:t>
      </w:r>
      <w:r w:rsidR="00116F3B" w:rsidRPr="006D7F2B">
        <w:t xml:space="preserve">also voiced in such a more developed country as the USA. </w:t>
      </w:r>
      <w:r w:rsidR="001E0F74" w:rsidRPr="006D7F2B">
        <w:t>Such question as “Is character education valuable or just a trendy fad?” is also asked in America [</w:t>
      </w:r>
      <w:r w:rsidR="0061213C">
        <w:t>12</w:t>
      </w:r>
      <w:r w:rsidR="001E0F74" w:rsidRPr="006D7F2B">
        <w:t xml:space="preserve">]. </w:t>
      </w:r>
      <w:r w:rsidR="004901BB" w:rsidRPr="006D7F2B">
        <w:t>People tend to overlook the ideals</w:t>
      </w:r>
      <w:r w:rsidR="0061213C">
        <w:t xml:space="preserve"> </w:t>
      </w:r>
      <w:r w:rsidR="004901BB" w:rsidRPr="006D7F2B">
        <w:t>that the curriculum bears. This research wanted point out whether these preexisting</w:t>
      </w:r>
      <w:r w:rsidR="002727B5">
        <w:t xml:space="preserve"> and commonly-held</w:t>
      </w:r>
      <w:r w:rsidR="004901BB" w:rsidRPr="006D7F2B">
        <w:t xml:space="preserve"> views among some are  myth</w:t>
      </w:r>
      <w:r w:rsidR="00E52C73" w:rsidRPr="006D7F2B">
        <w:t>s or realities</w:t>
      </w:r>
      <w:r w:rsidR="004901BB" w:rsidRPr="006D7F2B">
        <w:t xml:space="preserve"> by examining the influence of </w:t>
      </w:r>
      <w:r w:rsidR="00E52C73" w:rsidRPr="006D7F2B">
        <w:t xml:space="preserve">the implementation of </w:t>
      </w:r>
      <w:r w:rsidR="004901BB" w:rsidRPr="006D7F2B">
        <w:t>K</w:t>
      </w:r>
      <w:r w:rsidR="00E52C73" w:rsidRPr="006D7F2B">
        <w:t>-</w:t>
      </w:r>
      <w:r w:rsidR="004901BB" w:rsidRPr="006D7F2B">
        <w:t>13 and Teac</w:t>
      </w:r>
      <w:r w:rsidR="002727B5">
        <w:t xml:space="preserve">hers’ </w:t>
      </w:r>
      <w:r w:rsidR="004901BB" w:rsidRPr="006D7F2B">
        <w:t>Und</w:t>
      </w:r>
      <w:r w:rsidR="002727B5">
        <w:t>ersdanding of the curriculum</w:t>
      </w:r>
      <w:r w:rsidR="004901BB" w:rsidRPr="006D7F2B">
        <w:t xml:space="preserve"> on the students’ character</w:t>
      </w:r>
      <w:r w:rsidR="00E52C73" w:rsidRPr="006D7F2B">
        <w:t xml:space="preserve"> using quantitative approach</w:t>
      </w:r>
      <w:r w:rsidR="004901BB" w:rsidRPr="006D7F2B">
        <w:t>.</w:t>
      </w:r>
    </w:p>
    <w:p w:rsidR="004901BB" w:rsidRDefault="00E52C73" w:rsidP="004901BB">
      <w:pPr>
        <w:ind w:firstLine="426"/>
        <w:jc w:val="both"/>
      </w:pPr>
      <w:r w:rsidRPr="006D7F2B">
        <w:t>To guide this study, the following research questions and hypothesis were formulated.</w:t>
      </w:r>
    </w:p>
    <w:p w:rsidR="00C47611" w:rsidRDefault="00C47611" w:rsidP="004901BB">
      <w:pPr>
        <w:ind w:firstLine="426"/>
        <w:jc w:val="both"/>
      </w:pPr>
    </w:p>
    <w:p w:rsidR="002727B5" w:rsidRDefault="002727B5" w:rsidP="00C47611">
      <w:pPr>
        <w:ind w:left="709" w:hanging="283"/>
        <w:jc w:val="both"/>
      </w:pPr>
      <w:r>
        <w:t>Q1</w:t>
      </w:r>
      <w:r w:rsidR="005B7E59">
        <w:t xml:space="preserve"> Does teachers’ understan</w:t>
      </w:r>
      <w:r w:rsidR="006C79EC">
        <w:t>ding of K-13 influence the students’ character?</w:t>
      </w:r>
    </w:p>
    <w:p w:rsidR="002727B5" w:rsidRDefault="002727B5" w:rsidP="00C47611">
      <w:pPr>
        <w:ind w:left="709" w:hanging="283"/>
        <w:jc w:val="both"/>
      </w:pPr>
      <w:r>
        <w:t>Q2</w:t>
      </w:r>
      <w:r w:rsidR="006C79EC">
        <w:t xml:space="preserve"> Does the implementation of K-13 at school influence students’ character?</w:t>
      </w:r>
    </w:p>
    <w:p w:rsidR="002727B5" w:rsidRDefault="002727B5" w:rsidP="00C47611">
      <w:pPr>
        <w:ind w:left="709" w:hanging="283"/>
        <w:jc w:val="both"/>
      </w:pPr>
      <w:r>
        <w:t>Q3</w:t>
      </w:r>
      <w:r w:rsidR="006C79EC">
        <w:t xml:space="preserve"> Do teachers’ understanding of K-13 and its implementation simultaneously influence students’ character?</w:t>
      </w:r>
    </w:p>
    <w:p w:rsidR="006C79EC" w:rsidRDefault="006C79EC" w:rsidP="004901BB">
      <w:pPr>
        <w:ind w:firstLine="426"/>
        <w:jc w:val="both"/>
      </w:pPr>
    </w:p>
    <w:p w:rsidR="006C79EC" w:rsidRDefault="006C79EC" w:rsidP="004901BB">
      <w:pPr>
        <w:ind w:firstLine="426"/>
        <w:jc w:val="both"/>
      </w:pPr>
      <w:r>
        <w:t>Based on the research questions hypotheses of the research are therefore,</w:t>
      </w:r>
    </w:p>
    <w:p w:rsidR="00283C19" w:rsidRPr="006D7F2B" w:rsidRDefault="00283C19" w:rsidP="004901BB">
      <w:pPr>
        <w:ind w:firstLine="426"/>
        <w:jc w:val="both"/>
      </w:pPr>
    </w:p>
    <w:p w:rsidR="008A55B5" w:rsidRPr="006D7F2B" w:rsidRDefault="00445774" w:rsidP="004901BB">
      <w:pPr>
        <w:pStyle w:val="Heading1"/>
        <w:ind w:firstLine="426"/>
      </w:pPr>
      <w:r w:rsidRPr="006D7F2B">
        <w:t>Method</w:t>
      </w:r>
    </w:p>
    <w:p w:rsidR="00F112CB" w:rsidRDefault="00F112CB" w:rsidP="004901BB">
      <w:pPr>
        <w:ind w:firstLine="426"/>
        <w:jc w:val="both"/>
      </w:pPr>
      <w:r>
        <w:t xml:space="preserve">Three sets of questionnaires using 5-point scale were prepared in order to find out responses from students and teachers regarding behaviours understanding and perception regarding their understanding of the curriculum and their </w:t>
      </w:r>
      <w:r>
        <w:lastRenderedPageBreak/>
        <w:t>perception of curriculum implementation. Students were specifically asked questions revolving elements of character.</w:t>
      </w:r>
    </w:p>
    <w:p w:rsidR="00F112CB" w:rsidRDefault="008455E1" w:rsidP="004901BB">
      <w:pPr>
        <w:ind w:firstLine="426"/>
        <w:jc w:val="both"/>
      </w:pPr>
      <w:r>
        <w:t xml:space="preserve">The purpose of this study is to examine the correlation between factors involved shaping students’ character at school. The factors being examined include teachers’ understanding of Curriculum 2013 (K-13) and the implementation K-13 at schools. Quatitative approach is used in this study. </w:t>
      </w:r>
    </w:p>
    <w:p w:rsidR="000557DD" w:rsidRPr="000557DD" w:rsidRDefault="00AE2990" w:rsidP="000557DD">
      <w:pPr>
        <w:autoSpaceDE w:val="0"/>
        <w:autoSpaceDN w:val="0"/>
        <w:adjustRightInd w:val="0"/>
        <w:ind w:firstLine="426"/>
        <w:jc w:val="both"/>
      </w:pPr>
      <w:r>
        <w:t>Q</w:t>
      </w:r>
      <w:r w:rsidR="000557DD" w:rsidRPr="000557DD">
        <w:t>uatitative approach has been in use since the 19</w:t>
      </w:r>
      <w:r w:rsidR="000557DD" w:rsidRPr="000557DD">
        <w:rPr>
          <w:vertAlign w:val="superscript"/>
        </w:rPr>
        <w:t>th</w:t>
      </w:r>
      <w:r w:rsidR="000557DD" w:rsidRPr="000557DD">
        <w:t xml:space="preserve"> century and it was associated with post positivist worldview [</w:t>
      </w:r>
      <w:r w:rsidR="004D412D">
        <w:t>13</w:t>
      </w:r>
      <w:r w:rsidR="000557DD" w:rsidRPr="000557DD">
        <w:t xml:space="preserve">]. </w:t>
      </w:r>
      <w:r w:rsidR="000557DD" w:rsidRPr="000557DD">
        <w:rPr>
          <w:rFonts w:cs="BookmanOldStyle"/>
          <w:szCs w:val="24"/>
        </w:rPr>
        <w:t>These include the true experiments and the less rigorous experiments called quasi-experiments and correlation studies, and specific single-subject experiments. More recently, according to Cresswell, quantitative strategies involved complex experiments with may variables and treatments (e.g. factorial designs and repeated measure designs). They also included elaborate structural equation models that incorporated causal paths and the identification of the collective strength of multiple variables. Two strategies at least can be utilized to pursue quantitative research, experiments and surveys.</w:t>
      </w:r>
      <w:r w:rsidR="000557DD" w:rsidRPr="000557DD">
        <w:t xml:space="preserve"> </w:t>
      </w:r>
    </w:p>
    <w:p w:rsidR="000557DD" w:rsidRDefault="000557DD" w:rsidP="000557DD">
      <w:pPr>
        <w:ind w:firstLine="426"/>
        <w:jc w:val="both"/>
        <w:rPr>
          <w:rFonts w:cs="BookmanOldStyle"/>
          <w:szCs w:val="24"/>
        </w:rPr>
      </w:pPr>
      <w:r w:rsidRPr="000557DD">
        <w:t xml:space="preserve">The present study used survey in order to look at the correlation of the factors mentioned earlier. In regard to surveys, Cresswell continued to explain that surveys can include </w:t>
      </w:r>
      <w:r w:rsidRPr="000557DD">
        <w:rPr>
          <w:rFonts w:cs="BookmanOldStyle"/>
          <w:szCs w:val="24"/>
        </w:rPr>
        <w:t>cross-sectional and longitudinal studies using questionnaires or structured interviews for data collection</w:t>
      </w:r>
      <w:r w:rsidR="000376DB">
        <w:rPr>
          <w:rFonts w:cs="BookmanOldStyle"/>
          <w:szCs w:val="24"/>
        </w:rPr>
        <w:t xml:space="preserve">. The </w:t>
      </w:r>
      <w:r w:rsidRPr="000557DD">
        <w:rPr>
          <w:rFonts w:cs="BookmanOldStyle"/>
          <w:szCs w:val="24"/>
        </w:rPr>
        <w:t xml:space="preserve">intent of conducting survey is usually to be able to come up with results that are generalizable from sample to population </w:t>
      </w:r>
      <w:r w:rsidR="004D412D">
        <w:rPr>
          <w:rFonts w:cs="BookmanOldStyle"/>
          <w:szCs w:val="24"/>
        </w:rPr>
        <w:t>[14]</w:t>
      </w:r>
      <w:r w:rsidRPr="000557DD">
        <w:rPr>
          <w:rFonts w:cs="BookmanOldStyle"/>
          <w:szCs w:val="24"/>
        </w:rPr>
        <w:t>.</w:t>
      </w:r>
    </w:p>
    <w:p w:rsidR="000557DD" w:rsidRDefault="000557DD" w:rsidP="004901BB">
      <w:pPr>
        <w:ind w:firstLine="426"/>
        <w:jc w:val="both"/>
      </w:pPr>
      <w:r>
        <w:t>Three sets of questionnaires were prepared</w:t>
      </w:r>
      <w:r w:rsidR="000376DB">
        <w:t xml:space="preserve"> as instruments of data collection. All questionnaire sets were designed using 5-point scale. The first set was given to students where they were asked questions related to their experience and character development. The second and third sets were given to teachers asking about their understanding of Curriculum 2013 in one set and their perception of curriculum implementation in the other.</w:t>
      </w:r>
    </w:p>
    <w:p w:rsidR="000557DD" w:rsidRDefault="000A1987" w:rsidP="004901BB">
      <w:pPr>
        <w:ind w:firstLine="426"/>
        <w:jc w:val="both"/>
      </w:pPr>
      <w:r>
        <w:t>Before the questionnaires were distributed, they were tested for their validity and reliability which is reported in the following setion.</w:t>
      </w:r>
    </w:p>
    <w:p w:rsidR="004901BB" w:rsidRPr="006D7F2B" w:rsidRDefault="004901BB" w:rsidP="004901BB">
      <w:pPr>
        <w:ind w:firstLine="426"/>
        <w:jc w:val="both"/>
      </w:pPr>
    </w:p>
    <w:p w:rsidR="004901BB" w:rsidRPr="006D7F2B" w:rsidRDefault="004901BB" w:rsidP="000A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b/>
        </w:rPr>
      </w:pPr>
      <w:r w:rsidRPr="006D7F2B">
        <w:rPr>
          <w:rFonts w:cs="Courier New"/>
          <w:b/>
        </w:rPr>
        <w:t>Test Validity and Reliability</w:t>
      </w:r>
    </w:p>
    <w:p w:rsidR="004901BB" w:rsidRPr="006D7F2B" w:rsidRDefault="004901BB" w:rsidP="0049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cs="Courier New"/>
        </w:rPr>
      </w:pPr>
      <w:r w:rsidRPr="006D7F2B">
        <w:rPr>
          <w:rFonts w:cs="Courier New"/>
        </w:rPr>
        <w:t xml:space="preserve">For the purposes of validity and reliability, testing is carried out at SMA Negeri 1 Lhoksukon. </w:t>
      </w:r>
      <w:r w:rsidR="000A1987">
        <w:rPr>
          <w:rFonts w:cs="Courier New"/>
        </w:rPr>
        <w:t>North Aceh s</w:t>
      </w:r>
      <w:r w:rsidRPr="006D7F2B">
        <w:rPr>
          <w:rFonts w:cs="Courier New"/>
        </w:rPr>
        <w:t>tarting from the 25th to the 27th March 2019.</w:t>
      </w:r>
    </w:p>
    <w:p w:rsidR="004901BB" w:rsidRPr="006D7F2B" w:rsidRDefault="004901BB" w:rsidP="0049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cs="Courier New"/>
        </w:rPr>
      </w:pPr>
      <w:r w:rsidRPr="006D7F2B">
        <w:rPr>
          <w:rFonts w:cs="Courier New"/>
        </w:rPr>
        <w:t xml:space="preserve">After the questionnaire </w:t>
      </w:r>
      <w:r w:rsidR="000A1987">
        <w:rPr>
          <w:rFonts w:cs="Courier New"/>
        </w:rPr>
        <w:t xml:space="preserve">was </w:t>
      </w:r>
      <w:r w:rsidRPr="006D7F2B">
        <w:rPr>
          <w:rFonts w:cs="Courier New"/>
        </w:rPr>
        <w:t>tested for validity and reliability, the results are obtained, some invalid questionnaire items were found and they were discarded.</w:t>
      </w:r>
    </w:p>
    <w:p w:rsidR="004901BB" w:rsidRPr="006D7F2B" w:rsidRDefault="004901BB" w:rsidP="0049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cs="Courier New"/>
        </w:rPr>
      </w:pPr>
      <w:r w:rsidRPr="006D7F2B">
        <w:rPr>
          <w:rFonts w:cs="Courier New"/>
        </w:rPr>
        <w:t>Testing the validity of the data in this study was carried out statistically, using the Pearson product-moment coefficient of correlation test with the help of SPSS 18, where all statements have a correlation value above a critical value of 10%, which is above 0.1226 (See valid Table Correlation Critical Value r Product-Moment for n = 179 in the SPSS output attachment), so the statements are significant and have construct validity. All the questionnaires circulated, have been declared valid.</w:t>
      </w:r>
    </w:p>
    <w:p w:rsidR="004901BB" w:rsidRPr="006D7F2B" w:rsidRDefault="004544A1" w:rsidP="004901BB">
      <w:pPr>
        <w:pStyle w:val="Heading2"/>
        <w:numPr>
          <w:ilvl w:val="0"/>
          <w:numId w:val="0"/>
        </w:numPr>
        <w:ind w:left="288" w:firstLine="426"/>
        <w:rPr>
          <w:rFonts w:eastAsia="Times New Roman" w:cs="Courier New"/>
          <w:b/>
        </w:rPr>
      </w:pPr>
      <w:r>
        <w:rPr>
          <w:rFonts w:eastAsia="Times New Roman" w:cs="Courier New"/>
          <w:b/>
          <w:i w:val="0"/>
        </w:rPr>
        <w:lastRenderedPageBreak/>
        <w:t xml:space="preserve">Table 1 </w:t>
      </w:r>
      <w:r>
        <w:rPr>
          <w:rFonts w:eastAsia="Times New Roman" w:cs="Courier New"/>
          <w:i w:val="0"/>
        </w:rPr>
        <w:t>R</w:t>
      </w:r>
      <w:r w:rsidR="004901BB" w:rsidRPr="004544A1">
        <w:rPr>
          <w:rFonts w:eastAsia="Times New Roman" w:cs="Courier New"/>
          <w:i w:val="0"/>
        </w:rPr>
        <w:t>eliability</w:t>
      </w:r>
      <w:r>
        <w:rPr>
          <w:rFonts w:eastAsia="Times New Roman" w:cs="Courier New"/>
          <w:i w:val="0"/>
        </w:rPr>
        <w:t xml:space="preserve"> Test </w:t>
      </w:r>
    </w:p>
    <w:tbl>
      <w:tblP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599"/>
        <w:gridCol w:w="1049"/>
        <w:gridCol w:w="1048"/>
        <w:gridCol w:w="1050"/>
      </w:tblGrid>
      <w:tr w:rsidR="00D01E27" w:rsidTr="00D01E27">
        <w:tc>
          <w:tcPr>
            <w:tcW w:w="534" w:type="dxa"/>
            <w:vAlign w:val="center"/>
          </w:tcPr>
          <w:p w:rsidR="004544A1" w:rsidRPr="00D01E27" w:rsidRDefault="004544A1" w:rsidP="005B7E59">
            <w:pPr>
              <w:rPr>
                <w:sz w:val="16"/>
                <w:szCs w:val="24"/>
              </w:rPr>
            </w:pPr>
            <w:r w:rsidRPr="00D01E27">
              <w:rPr>
                <w:sz w:val="16"/>
                <w:szCs w:val="24"/>
              </w:rPr>
              <w:t>No.</w:t>
            </w:r>
          </w:p>
        </w:tc>
        <w:tc>
          <w:tcPr>
            <w:tcW w:w="1599" w:type="dxa"/>
            <w:vAlign w:val="center"/>
          </w:tcPr>
          <w:p w:rsidR="004544A1" w:rsidRPr="00D01E27" w:rsidRDefault="00313419" w:rsidP="005B7E59">
            <w:pPr>
              <w:rPr>
                <w:sz w:val="16"/>
                <w:szCs w:val="24"/>
              </w:rPr>
            </w:pPr>
            <w:r>
              <w:rPr>
                <w:sz w:val="16"/>
                <w:szCs w:val="24"/>
              </w:rPr>
              <w:t>Variables</w:t>
            </w:r>
          </w:p>
        </w:tc>
        <w:tc>
          <w:tcPr>
            <w:tcW w:w="1049" w:type="dxa"/>
            <w:vAlign w:val="center"/>
          </w:tcPr>
          <w:p w:rsidR="004544A1" w:rsidRPr="00D01E27" w:rsidRDefault="00313419" w:rsidP="005B7E59">
            <w:pPr>
              <w:rPr>
                <w:sz w:val="16"/>
                <w:szCs w:val="24"/>
              </w:rPr>
            </w:pPr>
            <w:r>
              <w:rPr>
                <w:sz w:val="16"/>
                <w:szCs w:val="24"/>
              </w:rPr>
              <w:t>Variable items</w:t>
            </w:r>
          </w:p>
        </w:tc>
        <w:tc>
          <w:tcPr>
            <w:tcW w:w="1048" w:type="dxa"/>
            <w:vAlign w:val="center"/>
          </w:tcPr>
          <w:p w:rsidR="004544A1" w:rsidRPr="00D01E27" w:rsidRDefault="00313419" w:rsidP="005B7E59">
            <w:pPr>
              <w:rPr>
                <w:sz w:val="16"/>
                <w:szCs w:val="24"/>
              </w:rPr>
            </w:pPr>
            <w:r>
              <w:rPr>
                <w:sz w:val="16"/>
                <w:szCs w:val="24"/>
              </w:rPr>
              <w:t>Alpha Values</w:t>
            </w:r>
          </w:p>
        </w:tc>
        <w:tc>
          <w:tcPr>
            <w:tcW w:w="1050" w:type="dxa"/>
            <w:vAlign w:val="center"/>
          </w:tcPr>
          <w:p w:rsidR="004544A1" w:rsidRPr="00D01E27" w:rsidRDefault="00313419" w:rsidP="005B7E59">
            <w:pPr>
              <w:rPr>
                <w:sz w:val="16"/>
                <w:szCs w:val="24"/>
              </w:rPr>
            </w:pPr>
            <w:r>
              <w:rPr>
                <w:sz w:val="16"/>
                <w:szCs w:val="24"/>
              </w:rPr>
              <w:t>Remarks</w:t>
            </w:r>
          </w:p>
        </w:tc>
      </w:tr>
      <w:tr w:rsidR="00D01E27" w:rsidTr="00C76979">
        <w:tc>
          <w:tcPr>
            <w:tcW w:w="534" w:type="dxa"/>
          </w:tcPr>
          <w:p w:rsidR="004544A1" w:rsidRPr="00D01E27" w:rsidRDefault="004544A1" w:rsidP="00D01E27">
            <w:pPr>
              <w:spacing w:line="360" w:lineRule="auto"/>
              <w:rPr>
                <w:sz w:val="16"/>
                <w:szCs w:val="24"/>
              </w:rPr>
            </w:pPr>
            <w:r w:rsidRPr="00D01E27">
              <w:rPr>
                <w:sz w:val="16"/>
                <w:szCs w:val="24"/>
              </w:rPr>
              <w:t>1</w:t>
            </w:r>
          </w:p>
        </w:tc>
        <w:tc>
          <w:tcPr>
            <w:tcW w:w="1599" w:type="dxa"/>
            <w:vAlign w:val="center"/>
          </w:tcPr>
          <w:p w:rsidR="004544A1" w:rsidRPr="00D01E27" w:rsidRDefault="00313419" w:rsidP="005B7E59">
            <w:pPr>
              <w:rPr>
                <w:sz w:val="16"/>
                <w:szCs w:val="24"/>
              </w:rPr>
            </w:pPr>
            <w:r>
              <w:rPr>
                <w:sz w:val="16"/>
                <w:szCs w:val="24"/>
              </w:rPr>
              <w:t xml:space="preserve">Techers’ understanding </w:t>
            </w:r>
            <w:r w:rsidR="004544A1" w:rsidRPr="00D01E27">
              <w:rPr>
                <w:sz w:val="16"/>
                <w:szCs w:val="24"/>
              </w:rPr>
              <w:t xml:space="preserve"> </w:t>
            </w:r>
            <w:r w:rsidR="004544A1" w:rsidRPr="00D01E27">
              <w:rPr>
                <w:i/>
                <w:sz w:val="16"/>
                <w:szCs w:val="24"/>
              </w:rPr>
              <w:t>(X1)</w:t>
            </w:r>
          </w:p>
        </w:tc>
        <w:tc>
          <w:tcPr>
            <w:tcW w:w="1049" w:type="dxa"/>
            <w:vAlign w:val="center"/>
          </w:tcPr>
          <w:p w:rsidR="004544A1" w:rsidRPr="00D01E27" w:rsidRDefault="004544A1" w:rsidP="00C76979">
            <w:pPr>
              <w:spacing w:line="360" w:lineRule="auto"/>
              <w:rPr>
                <w:sz w:val="16"/>
                <w:szCs w:val="24"/>
              </w:rPr>
            </w:pPr>
            <w:r w:rsidRPr="00D01E27">
              <w:rPr>
                <w:sz w:val="16"/>
                <w:szCs w:val="24"/>
              </w:rPr>
              <w:t>14</w:t>
            </w:r>
          </w:p>
        </w:tc>
        <w:tc>
          <w:tcPr>
            <w:tcW w:w="1048" w:type="dxa"/>
            <w:vAlign w:val="center"/>
          </w:tcPr>
          <w:p w:rsidR="004544A1" w:rsidRPr="00D01E27" w:rsidRDefault="004544A1" w:rsidP="00C76979">
            <w:pPr>
              <w:spacing w:line="360" w:lineRule="auto"/>
              <w:rPr>
                <w:sz w:val="16"/>
                <w:szCs w:val="24"/>
              </w:rPr>
            </w:pPr>
            <w:r w:rsidRPr="00D01E27">
              <w:rPr>
                <w:sz w:val="16"/>
                <w:szCs w:val="24"/>
              </w:rPr>
              <w:t>0,858</w:t>
            </w:r>
          </w:p>
        </w:tc>
        <w:tc>
          <w:tcPr>
            <w:tcW w:w="1050" w:type="dxa"/>
            <w:vAlign w:val="center"/>
          </w:tcPr>
          <w:p w:rsidR="004544A1" w:rsidRPr="00D01E27" w:rsidRDefault="00313419" w:rsidP="00C76979">
            <w:pPr>
              <w:spacing w:line="360" w:lineRule="auto"/>
              <w:rPr>
                <w:sz w:val="16"/>
                <w:szCs w:val="24"/>
              </w:rPr>
            </w:pPr>
            <w:r>
              <w:rPr>
                <w:sz w:val="16"/>
                <w:szCs w:val="24"/>
              </w:rPr>
              <w:t>Reliable</w:t>
            </w:r>
          </w:p>
        </w:tc>
      </w:tr>
      <w:tr w:rsidR="00D01E27" w:rsidTr="00C76979">
        <w:tc>
          <w:tcPr>
            <w:tcW w:w="534" w:type="dxa"/>
          </w:tcPr>
          <w:p w:rsidR="004544A1" w:rsidRPr="00D01E27" w:rsidRDefault="004544A1" w:rsidP="00D01E27">
            <w:pPr>
              <w:spacing w:line="360" w:lineRule="auto"/>
              <w:rPr>
                <w:sz w:val="16"/>
                <w:szCs w:val="24"/>
              </w:rPr>
            </w:pPr>
            <w:r w:rsidRPr="00D01E27">
              <w:rPr>
                <w:sz w:val="16"/>
                <w:szCs w:val="24"/>
              </w:rPr>
              <w:t>2</w:t>
            </w:r>
          </w:p>
        </w:tc>
        <w:tc>
          <w:tcPr>
            <w:tcW w:w="1599" w:type="dxa"/>
            <w:vAlign w:val="center"/>
          </w:tcPr>
          <w:p w:rsidR="004544A1" w:rsidRPr="00D01E27" w:rsidRDefault="00313419" w:rsidP="005B7E59">
            <w:pPr>
              <w:rPr>
                <w:sz w:val="16"/>
                <w:szCs w:val="24"/>
              </w:rPr>
            </w:pPr>
            <w:r>
              <w:rPr>
                <w:sz w:val="16"/>
                <w:szCs w:val="24"/>
              </w:rPr>
              <w:t>K-13 Implementation</w:t>
            </w:r>
            <w:r w:rsidR="004544A1" w:rsidRPr="00D01E27">
              <w:rPr>
                <w:sz w:val="16"/>
                <w:szCs w:val="24"/>
              </w:rPr>
              <w:t xml:space="preserve"> </w:t>
            </w:r>
            <w:r w:rsidR="006215D9" w:rsidRPr="00D01E27">
              <w:rPr>
                <w:sz w:val="16"/>
                <w:szCs w:val="24"/>
              </w:rPr>
              <w:fldChar w:fldCharType="begin"/>
            </w:r>
            <w:r w:rsidR="00D01E27" w:rsidRPr="00D01E27">
              <w:rPr>
                <w:sz w:val="16"/>
                <w:szCs w:val="24"/>
              </w:rPr>
              <w:instrText xml:space="preserve"> QUOTE </w:instrText>
            </w:r>
            <w:r w:rsidR="00C76979" w:rsidRPr="006215D9">
              <w:rPr>
                <w:position w:val="-5"/>
              </w:rPr>
              <w:pict>
                <v:shape id="_x0000_i1025" type="#_x0000_t75" style="width:1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stylePaneFormatFilter w:val=&quot;1028&quot;/&gt;&lt;w:defaultTabStop w:val=&quot;720&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doNotUseHTMLParagraphAutoSpacing/&gt;&lt;w:dontAllowFieldEndSelect/&gt;&lt;w:useWord2002TableStyleRules/&gt;&lt;/w:compat&gt;&lt;wsp:rsids&gt;&lt;wsp:rsidRoot wsp:val=&quot;003A59A6&quot;/&gt;&lt;wsp:rsid wsp:val=&quot;000220BD&quot;/&gt;&lt;wsp:rsid wsp:val=&quot;0004390D&quot;/&gt;&lt;wsp:rsid wsp:val=&quot;000A4A88&quot;/&gt;&lt;wsp:rsid wsp:val=&quot;000B4641&quot;/&gt;&lt;wsp:rsid wsp:val=&quot;000D0BD7&quot;/&gt;&lt;wsp:rsid wsp:val=&quot;000E08FD&quot;/&gt;&lt;wsp:rsid wsp:val=&quot;00104205&quot;/&gt;&lt;wsp:rsid wsp:val=&quot;0010711E&quot;/&gt;&lt;wsp:rsid wsp:val=&quot;00116F3B&quot;/&gt;&lt;wsp:rsid wsp:val=&quot;00127EDD&quot;/&gt;&lt;wsp:rsid wsp:val=&quot;00135A47&quot;/&gt;&lt;wsp:rsid wsp:val=&quot;00167871&quot;/&gt;&lt;wsp:rsid wsp:val=&quot;00175F17&quot;/&gt;&lt;wsp:rsid wsp:val=&quot;00191C78&quot;/&gt;&lt;wsp:rsid wsp:val=&quot;001B72CC&quot;/&gt;&lt;wsp:rsid wsp:val=&quot;001C6746&quot;/&gt;&lt;wsp:rsid wsp:val=&quot;001D561F&quot;/&gt;&lt;wsp:rsid wsp:val=&quot;001D71ED&quot;/&gt;&lt;wsp:rsid wsp:val=&quot;001E0F74&quot;/&gt;&lt;wsp:rsid wsp:val=&quot;00211916&quot;/&gt;&lt;wsp:rsid wsp:val=&quot;002267EC&quot;/&gt;&lt;wsp:rsid wsp:val=&quot;00231018&quot;/&gt;&lt;wsp:rsid wsp:val=&quot;002704C2&quot;/&gt;&lt;wsp:rsid wsp:val=&quot;00270559&quot;/&gt;&lt;wsp:rsid wsp:val=&quot;002707CB&quot;/&gt;&lt;wsp:rsid wsp:val=&quot;00276735&quot;/&gt;&lt;wsp:rsid wsp:val=&quot;00283C19&quot;/&gt;&lt;wsp:rsid wsp:val=&quot;002864A3&quot;/&gt;&lt;wsp:rsid wsp:val=&quot;002B3B81&quot;/&gt;&lt;wsp:rsid wsp:val=&quot;002E4E79&quot;/&gt;&lt;wsp:rsid wsp:val=&quot;002F0B49&quot;/&gt;&lt;wsp:rsid wsp:val=&quot;003108D9&quot;/&gt;&lt;wsp:rsid wsp:val=&quot;00381820&quot;/&gt;&lt;wsp:rsid wsp:val=&quot;0039488B&quot;/&gt;&lt;wsp:rsid wsp:val=&quot;003A47B5&quot;/&gt;&lt;wsp:rsid wsp:val=&quot;003A59A6&quot;/&gt;&lt;wsp:rsid wsp:val=&quot;003A7490&quot;/&gt;&lt;wsp:rsid wsp:val=&quot;003B1BCE&quot;/&gt;&lt;wsp:rsid wsp:val=&quot;003C7A2E&quot;/&gt;&lt;wsp:rsid wsp:val=&quot;003E6434&quot;/&gt;&lt;wsp:rsid wsp:val=&quot;004059FE&quot;/&gt;&lt;wsp:rsid wsp:val=&quot;004264ED&quot;/&gt;&lt;wsp:rsid wsp:val=&quot;004445B3&quot;/&gt;&lt;wsp:rsid wsp:val=&quot;00445774&quot;/&gt;&lt;wsp:rsid wsp:val=&quot;00445974&quot;/&gt;&lt;wsp:rsid wsp:val=&quot;00445A75&quot;/&gt;&lt;wsp:rsid wsp:val=&quot;004544A1&quot;/&gt;&lt;wsp:rsid wsp:val=&quot;004836F3&quot;/&gt;&lt;wsp:rsid wsp:val=&quot;004901BB&quot;/&gt;&lt;wsp:rsid wsp:val=&quot;00497648&quot;/&gt;&lt;wsp:rsid wsp:val=&quot;004F1398&quot;/&gt;&lt;wsp:rsid wsp:val=&quot;00504595&quot;/&gt;&lt;wsp:rsid wsp:val=&quot;00544184&quot;/&gt;&lt;wsp:rsid wsp:val=&quot;005B520E&quot;/&gt;&lt;wsp:rsid wsp:val=&quot;005B535B&quot;/&gt;&lt;wsp:rsid wsp:val=&quot;005F0F00&quot;/&gt;&lt;wsp:rsid wsp:val=&quot;006108A4&quot;/&gt;&lt;wsp:rsid wsp:val=&quot;006130BC&quot;/&gt;&lt;wsp:rsid wsp:val=&quot;00651B9E&quot;/&gt;&lt;wsp:rsid wsp:val=&quot;00653950&quot;/&gt;&lt;wsp:rsid wsp:val=&quot;0065684E&quot;/&gt;&lt;wsp:rsid wsp:val=&quot;00656BED&quot;/&gt;&lt;wsp:rsid wsp:val=&quot;00677FD3&quot;/&gt;&lt;wsp:rsid wsp:val=&quot;006902F7&quot;/&gt;&lt;wsp:rsid wsp:val=&quot;006B60CE&quot;/&gt;&lt;wsp:rsid wsp:val=&quot;006B7A0F&quot;/&gt;&lt;wsp:rsid wsp:val=&quot;006C188F&quot;/&gt;&lt;wsp:rsid wsp:val=&quot;006C4648&quot;/&gt;&lt;wsp:rsid wsp:val=&quot;006D7F2B&quot;/&gt;&lt;wsp:rsid wsp:val=&quot;00702944&quot;/&gt;&lt;wsp:rsid wsp:val=&quot;007111C0&quot;/&gt;&lt;wsp:rsid wsp:val=&quot;0072064C&quot;/&gt;&lt;wsp:rsid wsp:val=&quot;00734D57&quot;/&gt;&lt;wsp:rsid wsp:val=&quot;00735051&quot;/&gt;&lt;wsp:rsid wsp:val=&quot;007442B3&quot;/&gt;&lt;wsp:rsid wsp:val=&quot;00753F7B&quot;/&gt;&lt;wsp:rsid wsp:val=&quot;0078398E&quot;/&gt;&lt;wsp:rsid wsp:val=&quot;00787C5A&quot;/&gt;&lt;wsp:rsid wsp:val=&quot;007919DE&quot;/&gt;&lt;wsp:rsid wsp:val=&quot;007C0308&quot;/&gt;&lt;wsp:rsid wsp:val=&quot;007D00DF&quot;/&gt;&lt;wsp:rsid wsp:val=&quot;007F021F&quot;/&gt;&lt;wsp:rsid wsp:val=&quot;007F618C&quot;/&gt;&lt;wsp:rsid wsp:val=&quot;008014D2&quot;/&gt;&lt;wsp:rsid wsp:val=&quot;008054BC&quot;/&gt;&lt;wsp:rsid wsp:val=&quot;00822173&quot;/&gt;&lt;wsp:rsid wsp:val=&quot;00827E9E&quot;/&gt;&lt;wsp:rsid wsp:val=&quot;008415E6&quot;/&gt;&lt;wsp:rsid wsp:val=&quot;00873CFF&quot;/&gt;&lt;wsp:rsid wsp:val=&quot;008A55B5&quot;/&gt;&lt;wsp:rsid wsp:val=&quot;008A75C8&quot;/&gt;&lt;wsp:rsid wsp:val=&quot;00914DC6&quot;/&gt;&lt;wsp:rsid wsp:val=&quot;00953213&quot;/&gt;&lt;wsp:rsid wsp:val=&quot;00953EA0&quot;/&gt;&lt;wsp:rsid wsp:val=&quot;00965562&quot;/&gt;&lt;wsp:rsid wsp:val=&quot;00974F69&quot;/&gt;&lt;wsp:rsid wsp:val=&quot;0097508D&quot;/&gt;&lt;wsp:rsid wsp:val=&quot;00994C45&quot;/&gt;&lt;wsp:rsid wsp:val=&quot;0099774B&quot;/&gt;&lt;wsp:rsid wsp:val=&quot;009E1DAA&quot;/&gt;&lt;wsp:rsid wsp:val=&quot;009F2F67&quot;/&gt;&lt;wsp:rsid wsp:val=&quot;00A1205C&quot;/&gt;&lt;wsp:rsid wsp:val=&quot;00A510F7&quot;/&gt;&lt;wsp:rsid wsp:val=&quot;00AB6185&quot;/&gt;&lt;wsp:rsid wsp:val=&quot;00AC6519&quot;/&gt;&lt;wsp:rsid wsp:val=&quot;00B5292D&quot;/&gt;&lt;wsp:rsid wsp:val=&quot;00B8430B&quot;/&gt;&lt;wsp:rsid wsp:val=&quot;00BA1ACC&quot;/&gt;&lt;wsp:rsid wsp:val=&quot;00BA41BC&quot;/&gt;&lt;wsp:rsid wsp:val=&quot;00BD2FFC&quot;/&gt;&lt;wsp:rsid wsp:val=&quot;00BE648A&quot;/&gt;&lt;wsp:rsid wsp:val=&quot;00C35924&quot;/&gt;&lt;wsp:rsid wsp:val=&quot;00C55C77&quot;/&gt;&lt;wsp:rsid wsp:val=&quot;00C60622&quot;/&gt;&lt;wsp:rsid wsp:val=&quot;00C837D9&quot;/&gt;&lt;wsp:rsid wsp:val=&quot;00C8675B&quot;/&gt;&lt;wsp:rsid wsp:val=&quot;00C974C7&quot;/&gt;&lt;wsp:rsid wsp:val=&quot;00C97E10&quot;/&gt;&lt;wsp:rsid wsp:val=&quot;00CB1404&quot;/&gt;&lt;wsp:rsid wsp:val=&quot;00CB66E6&quot;/&gt;&lt;wsp:rsid wsp:val=&quot;00CD3455&quot;/&gt;&lt;wsp:rsid wsp:val=&quot;00CF6388&quot;/&gt;&lt;wsp:rsid wsp:val=&quot;00D01E27&quot;/&gt;&lt;wsp:rsid wsp:val=&quot;00D03509&quot;/&gt;&lt;wsp:rsid wsp:val=&quot;00D57F38&quot;/&gt;&lt;wsp:rsid wsp:val=&quot;00D72D73&quot;/&gt;&lt;wsp:rsid wsp:val=&quot;00D9156D&quot;/&gt;&lt;wsp:rsid wsp:val=&quot;00DA646B&quot;/&gt;&lt;wsp:rsid wsp:val=&quot;00DE1114&quot;/&gt;&lt;wsp:rsid wsp:val=&quot;00E43B50&quot;/&gt;&lt;wsp:rsid wsp:val=&quot;00E52C73&quot;/&gt;&lt;wsp:rsid wsp:val=&quot;00E80424&quot;/&gt;&lt;wsp:rsid wsp:val=&quot;00E91219&quot;/&gt;&lt;wsp:rsid wsp:val=&quot;00E918C3&quot;/&gt;&lt;wsp:rsid wsp:val=&quot;00EA506F&quot;/&gt;&lt;wsp:rsid wsp:val=&quot;00EB1A34&quot;/&gt;&lt;wsp:rsid wsp:val=&quot;00EE4362&quot;/&gt;&lt;wsp:rsid wsp:val=&quot;00EE6EA4&quot;/&gt;&lt;wsp:rsid wsp:val=&quot;00EF18D7&quot;/&gt;&lt;wsp:rsid wsp:val=&quot;00EF1E8A&quot;/&gt;&lt;wsp:rsid wsp:val=&quot;00EF3A1A&quot;/&gt;&lt;wsp:rsid wsp:val=&quot;00F4230C&quot;/&gt;&lt;wsp:rsid wsp:val=&quot;00F61A18&quot;/&gt;&lt;wsp:rsid wsp:val=&quot;00F95059&quot;/&gt;&lt;/wsp:rsids&gt;&lt;/w:docPr&gt;&lt;w:body&gt;&lt;w:p wsp:rsidR=&quot;00000000&quot; wsp:rsidRDefault=&quot;006130BC&quot;&gt;&lt;m:oMathPara&gt;&lt;m:oMath&gt;&lt;m:r&gt;&lt;w:rPr&gt;&lt;w:rFonts w:ascii=&quot;Cambria Math&quot;/&gt;&lt;wx:font wx:val=&quot;Cambria Math&quot;/&gt;&lt;w:i/&gt;&lt;w:sz w:val=&quot;16&quot;/&gt;&lt;w:sz-cs w:val=&quot;24&quot;/&gt;&lt;/w:rPr&gt;&lt;m:t&gt;(&lt;/m:t&gt;&lt;/m:r&gt;&lt;m:sSub&gt;&lt;m:sSubPr&gt;&lt;m:ctrlPr&gt;&lt;w:rPr&gt;&lt;w:rFonts w:ascii=&quot;Cambria Math&quot;/&gt;&lt;wx:font wx:val=&quot;Cambria Math&quot;/&gt;&lt;w:i/&gt;&lt;w:sz w:val=&quot;16&quot;/&gt;&lt;w:sz-cs w:val=&quot;24&quot;/&gt;&lt;/w:rPr&gt;&lt;/m:ctrlPr&gt;&lt;/m:sSubPr&gt;&lt;m:e&gt;&lt;m:r&gt;&lt;w:rPr&gt;&lt;w:rFonts w:ascii=&quot;Cambria Math&quot; w:h-ansi=&quot;Cambria Math&quot;/&gt;&lt;wx:font wx:val=&quot;Cambria Math&quot;/&gt;&lt;w:i/&gt;&lt;w:sz w:val=&quot;16&quot;/&gt;&lt;w:sz-cs w:val=&quot;24&quot;/&gt;&lt;/w:rPr&gt;&lt;m:t&gt;X&lt;/m:t&gt;&lt;/m:r&gt;&lt;/m:e&gt;&lt;m:sub&gt;&lt;m:r&gt;&lt;w:rPr&gt;&lt;w:rFonts w:ascii=&quot;Cambria Math&quot;/&gt;&lt;wx:font wx:val=&quot;Cambria Math&quot;/&gt;&lt;w:i/&gt;&lt;w:sz w:val=&quot;16&quot;/&gt;&lt;w:sz-cs w:val=&quot;24&quot;/&gt;&lt;/w:rPr&gt;&lt;m:t&gt;2&lt;/m:t&gt;&lt;/m:r&gt;&lt;/m:sub&gt;&lt;/m:sSub&gt;&lt;m:r&gt;&lt;w:rPr&gt;&lt;w:rFonts w:ascii=&quot;Cambria Math&quot;/&gt;&lt;wx:font wx:val=&quot;Cambria Math&quot;/&gt;&lt;w:i/&gt;&lt;w:sz w:val=&quot;16&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00D01E27" w:rsidRPr="00D01E27">
              <w:rPr>
                <w:sz w:val="16"/>
                <w:szCs w:val="24"/>
              </w:rPr>
              <w:instrText xml:space="preserve"> </w:instrText>
            </w:r>
            <w:r w:rsidR="006215D9" w:rsidRPr="00D01E27">
              <w:rPr>
                <w:sz w:val="16"/>
                <w:szCs w:val="24"/>
              </w:rPr>
              <w:fldChar w:fldCharType="separate"/>
            </w:r>
            <w:r w:rsidR="00C76979" w:rsidRPr="006215D9">
              <w:rPr>
                <w:position w:val="-5"/>
              </w:rPr>
              <w:pict>
                <v:shape id="_x0000_i1026" type="#_x0000_t75" style="width:15pt;height:9.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stylePaneFormatFilter w:val=&quot;1028&quot;/&gt;&lt;w:defaultTabStop w:val=&quot;720&quot;/&gt;&lt;w:doNotHyphenateCaps/&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doNotUseHTMLParagraphAutoSpacing/&gt;&lt;w:dontAllowFieldEndSelect/&gt;&lt;w:useWord2002TableStyleRules/&gt;&lt;/w:compat&gt;&lt;wsp:rsids&gt;&lt;wsp:rsidRoot wsp:val=&quot;003A59A6&quot;/&gt;&lt;wsp:rsid wsp:val=&quot;000220BD&quot;/&gt;&lt;wsp:rsid wsp:val=&quot;0004390D&quot;/&gt;&lt;wsp:rsid wsp:val=&quot;000A4A88&quot;/&gt;&lt;wsp:rsid wsp:val=&quot;000B4641&quot;/&gt;&lt;wsp:rsid wsp:val=&quot;000D0BD7&quot;/&gt;&lt;wsp:rsid wsp:val=&quot;000E08FD&quot;/&gt;&lt;wsp:rsid wsp:val=&quot;00104205&quot;/&gt;&lt;wsp:rsid wsp:val=&quot;0010711E&quot;/&gt;&lt;wsp:rsid wsp:val=&quot;00116F3B&quot;/&gt;&lt;wsp:rsid wsp:val=&quot;00127EDD&quot;/&gt;&lt;wsp:rsid wsp:val=&quot;00135A47&quot;/&gt;&lt;wsp:rsid wsp:val=&quot;00167871&quot;/&gt;&lt;wsp:rsid wsp:val=&quot;00175F17&quot;/&gt;&lt;wsp:rsid wsp:val=&quot;00191C78&quot;/&gt;&lt;wsp:rsid wsp:val=&quot;001B72CC&quot;/&gt;&lt;wsp:rsid wsp:val=&quot;001C6746&quot;/&gt;&lt;wsp:rsid wsp:val=&quot;001D561F&quot;/&gt;&lt;wsp:rsid wsp:val=&quot;001D71ED&quot;/&gt;&lt;wsp:rsid wsp:val=&quot;001E0F74&quot;/&gt;&lt;wsp:rsid wsp:val=&quot;00211916&quot;/&gt;&lt;wsp:rsid wsp:val=&quot;002267EC&quot;/&gt;&lt;wsp:rsid wsp:val=&quot;00231018&quot;/&gt;&lt;wsp:rsid wsp:val=&quot;002704C2&quot;/&gt;&lt;wsp:rsid wsp:val=&quot;00270559&quot;/&gt;&lt;wsp:rsid wsp:val=&quot;002707CB&quot;/&gt;&lt;wsp:rsid wsp:val=&quot;00276735&quot;/&gt;&lt;wsp:rsid wsp:val=&quot;00283C19&quot;/&gt;&lt;wsp:rsid wsp:val=&quot;002864A3&quot;/&gt;&lt;wsp:rsid wsp:val=&quot;002B3B81&quot;/&gt;&lt;wsp:rsid wsp:val=&quot;002E4E79&quot;/&gt;&lt;wsp:rsid wsp:val=&quot;002F0B49&quot;/&gt;&lt;wsp:rsid wsp:val=&quot;003108D9&quot;/&gt;&lt;wsp:rsid wsp:val=&quot;00381820&quot;/&gt;&lt;wsp:rsid wsp:val=&quot;0039488B&quot;/&gt;&lt;wsp:rsid wsp:val=&quot;003A47B5&quot;/&gt;&lt;wsp:rsid wsp:val=&quot;003A59A6&quot;/&gt;&lt;wsp:rsid wsp:val=&quot;003A7490&quot;/&gt;&lt;wsp:rsid wsp:val=&quot;003B1BCE&quot;/&gt;&lt;wsp:rsid wsp:val=&quot;003C7A2E&quot;/&gt;&lt;wsp:rsid wsp:val=&quot;003E6434&quot;/&gt;&lt;wsp:rsid wsp:val=&quot;004059FE&quot;/&gt;&lt;wsp:rsid wsp:val=&quot;004264ED&quot;/&gt;&lt;wsp:rsid wsp:val=&quot;004445B3&quot;/&gt;&lt;wsp:rsid wsp:val=&quot;00445774&quot;/&gt;&lt;wsp:rsid wsp:val=&quot;00445974&quot;/&gt;&lt;wsp:rsid wsp:val=&quot;00445A75&quot;/&gt;&lt;wsp:rsid wsp:val=&quot;004544A1&quot;/&gt;&lt;wsp:rsid wsp:val=&quot;004836F3&quot;/&gt;&lt;wsp:rsid wsp:val=&quot;004901BB&quot;/&gt;&lt;wsp:rsid wsp:val=&quot;00497648&quot;/&gt;&lt;wsp:rsid wsp:val=&quot;004F1398&quot;/&gt;&lt;wsp:rsid wsp:val=&quot;00504595&quot;/&gt;&lt;wsp:rsid wsp:val=&quot;00544184&quot;/&gt;&lt;wsp:rsid wsp:val=&quot;005B520E&quot;/&gt;&lt;wsp:rsid wsp:val=&quot;005B535B&quot;/&gt;&lt;wsp:rsid wsp:val=&quot;005F0F00&quot;/&gt;&lt;wsp:rsid wsp:val=&quot;006108A4&quot;/&gt;&lt;wsp:rsid wsp:val=&quot;006130BC&quot;/&gt;&lt;wsp:rsid wsp:val=&quot;00651B9E&quot;/&gt;&lt;wsp:rsid wsp:val=&quot;00653950&quot;/&gt;&lt;wsp:rsid wsp:val=&quot;0065684E&quot;/&gt;&lt;wsp:rsid wsp:val=&quot;00656BED&quot;/&gt;&lt;wsp:rsid wsp:val=&quot;00677FD3&quot;/&gt;&lt;wsp:rsid wsp:val=&quot;006902F7&quot;/&gt;&lt;wsp:rsid wsp:val=&quot;006B60CE&quot;/&gt;&lt;wsp:rsid wsp:val=&quot;006B7A0F&quot;/&gt;&lt;wsp:rsid wsp:val=&quot;006C188F&quot;/&gt;&lt;wsp:rsid wsp:val=&quot;006C4648&quot;/&gt;&lt;wsp:rsid wsp:val=&quot;006D7F2B&quot;/&gt;&lt;wsp:rsid wsp:val=&quot;00702944&quot;/&gt;&lt;wsp:rsid wsp:val=&quot;007111C0&quot;/&gt;&lt;wsp:rsid wsp:val=&quot;0072064C&quot;/&gt;&lt;wsp:rsid wsp:val=&quot;00734D57&quot;/&gt;&lt;wsp:rsid wsp:val=&quot;00735051&quot;/&gt;&lt;wsp:rsid wsp:val=&quot;007442B3&quot;/&gt;&lt;wsp:rsid wsp:val=&quot;00753F7B&quot;/&gt;&lt;wsp:rsid wsp:val=&quot;0078398E&quot;/&gt;&lt;wsp:rsid wsp:val=&quot;00787C5A&quot;/&gt;&lt;wsp:rsid wsp:val=&quot;007919DE&quot;/&gt;&lt;wsp:rsid wsp:val=&quot;007C0308&quot;/&gt;&lt;wsp:rsid wsp:val=&quot;007D00DF&quot;/&gt;&lt;wsp:rsid wsp:val=&quot;007F021F&quot;/&gt;&lt;wsp:rsid wsp:val=&quot;007F618C&quot;/&gt;&lt;wsp:rsid wsp:val=&quot;008014D2&quot;/&gt;&lt;wsp:rsid wsp:val=&quot;008054BC&quot;/&gt;&lt;wsp:rsid wsp:val=&quot;00822173&quot;/&gt;&lt;wsp:rsid wsp:val=&quot;00827E9E&quot;/&gt;&lt;wsp:rsid wsp:val=&quot;008415E6&quot;/&gt;&lt;wsp:rsid wsp:val=&quot;00873CFF&quot;/&gt;&lt;wsp:rsid wsp:val=&quot;008A55B5&quot;/&gt;&lt;wsp:rsid wsp:val=&quot;008A75C8&quot;/&gt;&lt;wsp:rsid wsp:val=&quot;00914DC6&quot;/&gt;&lt;wsp:rsid wsp:val=&quot;00953213&quot;/&gt;&lt;wsp:rsid wsp:val=&quot;00953EA0&quot;/&gt;&lt;wsp:rsid wsp:val=&quot;00965562&quot;/&gt;&lt;wsp:rsid wsp:val=&quot;00974F69&quot;/&gt;&lt;wsp:rsid wsp:val=&quot;0097508D&quot;/&gt;&lt;wsp:rsid wsp:val=&quot;00994C45&quot;/&gt;&lt;wsp:rsid wsp:val=&quot;0099774B&quot;/&gt;&lt;wsp:rsid wsp:val=&quot;009E1DAA&quot;/&gt;&lt;wsp:rsid wsp:val=&quot;009F2F67&quot;/&gt;&lt;wsp:rsid wsp:val=&quot;00A1205C&quot;/&gt;&lt;wsp:rsid wsp:val=&quot;00A510F7&quot;/&gt;&lt;wsp:rsid wsp:val=&quot;00AB6185&quot;/&gt;&lt;wsp:rsid wsp:val=&quot;00AC6519&quot;/&gt;&lt;wsp:rsid wsp:val=&quot;00B5292D&quot;/&gt;&lt;wsp:rsid wsp:val=&quot;00B8430B&quot;/&gt;&lt;wsp:rsid wsp:val=&quot;00BA1ACC&quot;/&gt;&lt;wsp:rsid wsp:val=&quot;00BA41BC&quot;/&gt;&lt;wsp:rsid wsp:val=&quot;00BD2FFC&quot;/&gt;&lt;wsp:rsid wsp:val=&quot;00BE648A&quot;/&gt;&lt;wsp:rsid wsp:val=&quot;00C35924&quot;/&gt;&lt;wsp:rsid wsp:val=&quot;00C55C77&quot;/&gt;&lt;wsp:rsid wsp:val=&quot;00C60622&quot;/&gt;&lt;wsp:rsid wsp:val=&quot;00C837D9&quot;/&gt;&lt;wsp:rsid wsp:val=&quot;00C8675B&quot;/&gt;&lt;wsp:rsid wsp:val=&quot;00C974C7&quot;/&gt;&lt;wsp:rsid wsp:val=&quot;00C97E10&quot;/&gt;&lt;wsp:rsid wsp:val=&quot;00CB1404&quot;/&gt;&lt;wsp:rsid wsp:val=&quot;00CB66E6&quot;/&gt;&lt;wsp:rsid wsp:val=&quot;00CD3455&quot;/&gt;&lt;wsp:rsid wsp:val=&quot;00CF6388&quot;/&gt;&lt;wsp:rsid wsp:val=&quot;00D01E27&quot;/&gt;&lt;wsp:rsid wsp:val=&quot;00D03509&quot;/&gt;&lt;wsp:rsid wsp:val=&quot;00D57F38&quot;/&gt;&lt;wsp:rsid wsp:val=&quot;00D72D73&quot;/&gt;&lt;wsp:rsid wsp:val=&quot;00D9156D&quot;/&gt;&lt;wsp:rsid wsp:val=&quot;00DA646B&quot;/&gt;&lt;wsp:rsid wsp:val=&quot;00DE1114&quot;/&gt;&lt;wsp:rsid wsp:val=&quot;00E43B50&quot;/&gt;&lt;wsp:rsid wsp:val=&quot;00E52C73&quot;/&gt;&lt;wsp:rsid wsp:val=&quot;00E80424&quot;/&gt;&lt;wsp:rsid wsp:val=&quot;00E91219&quot;/&gt;&lt;wsp:rsid wsp:val=&quot;00E918C3&quot;/&gt;&lt;wsp:rsid wsp:val=&quot;00EA506F&quot;/&gt;&lt;wsp:rsid wsp:val=&quot;00EB1A34&quot;/&gt;&lt;wsp:rsid wsp:val=&quot;00EE4362&quot;/&gt;&lt;wsp:rsid wsp:val=&quot;00EE6EA4&quot;/&gt;&lt;wsp:rsid wsp:val=&quot;00EF18D7&quot;/&gt;&lt;wsp:rsid wsp:val=&quot;00EF1E8A&quot;/&gt;&lt;wsp:rsid wsp:val=&quot;00EF3A1A&quot;/&gt;&lt;wsp:rsid wsp:val=&quot;00F4230C&quot;/&gt;&lt;wsp:rsid wsp:val=&quot;00F61A18&quot;/&gt;&lt;wsp:rsid wsp:val=&quot;00F95059&quot;/&gt;&lt;/wsp:rsids&gt;&lt;/w:docPr&gt;&lt;w:body&gt;&lt;w:p wsp:rsidR=&quot;00000000&quot; wsp:rsidRDefault=&quot;006130BC&quot;&gt;&lt;m:oMathPara&gt;&lt;m:oMath&gt;&lt;m:r&gt;&lt;w:rPr&gt;&lt;w:rFonts w:ascii=&quot;Cambria Math&quot;/&gt;&lt;wx:font wx:val=&quot;Cambria Math&quot;/&gt;&lt;w:i/&gt;&lt;w:sz w:val=&quot;16&quot;/&gt;&lt;w:sz-cs w:val=&quot;24&quot;/&gt;&lt;/w:rPr&gt;&lt;m:t&gt;(&lt;/m:t&gt;&lt;/m:r&gt;&lt;m:sSub&gt;&lt;m:sSubPr&gt;&lt;m:ctrlPr&gt;&lt;w:rPr&gt;&lt;w:rFonts w:ascii=&quot;Cambria Math&quot;/&gt;&lt;wx:font wx:val=&quot;Cambria Math&quot;/&gt;&lt;w:i/&gt;&lt;w:sz w:val=&quot;16&quot;/&gt;&lt;w:sz-cs w:val=&quot;24&quot;/&gt;&lt;/w:rPr&gt;&lt;/m:ctrlPr&gt;&lt;/m:sSubPr&gt;&lt;m:e&gt;&lt;m:r&gt;&lt;w:rPr&gt;&lt;w:rFonts w:ascii=&quot;Cambria Math&quot; w:h-ansi=&quot;Cambria Math&quot;/&gt;&lt;wx:font wx:val=&quot;Cambria Math&quot;/&gt;&lt;w:i/&gt;&lt;w:sz w:val=&quot;16&quot;/&gt;&lt;w:sz-cs w:val=&quot;24&quot;/&gt;&lt;/w:rPr&gt;&lt;m:t&gt;X&lt;/m:t&gt;&lt;/m:r&gt;&lt;/m:e&gt;&lt;m:sub&gt;&lt;m:r&gt;&lt;w:rPr&gt;&lt;w:rFonts w:ascii=&quot;Cambria Math&quot;/&gt;&lt;wx:font wx:val=&quot;Cambria Math&quot;/&gt;&lt;w:i/&gt;&lt;w:sz w:val=&quot;16&quot;/&gt;&lt;w:sz-cs w:val=&quot;24&quot;/&gt;&lt;/w:rPr&gt;&lt;m:t&gt;2&lt;/m:t&gt;&lt;/m:r&gt;&lt;/m:sub&gt;&lt;/m:sSub&gt;&lt;m:r&gt;&lt;w:rPr&gt;&lt;w:rFonts w:ascii=&quot;Cambria Math&quot;/&gt;&lt;wx:font wx:val=&quot;Cambria Math&quot;/&gt;&lt;w:i/&gt;&lt;w:sz w:val=&quot;16&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006215D9" w:rsidRPr="00D01E27">
              <w:rPr>
                <w:sz w:val="16"/>
                <w:szCs w:val="24"/>
              </w:rPr>
              <w:fldChar w:fldCharType="end"/>
            </w:r>
          </w:p>
        </w:tc>
        <w:tc>
          <w:tcPr>
            <w:tcW w:w="1049" w:type="dxa"/>
            <w:vAlign w:val="center"/>
          </w:tcPr>
          <w:p w:rsidR="004544A1" w:rsidRPr="00D01E27" w:rsidRDefault="004544A1" w:rsidP="00C76979">
            <w:pPr>
              <w:spacing w:line="360" w:lineRule="auto"/>
              <w:rPr>
                <w:sz w:val="16"/>
                <w:szCs w:val="24"/>
              </w:rPr>
            </w:pPr>
            <w:r w:rsidRPr="00D01E27">
              <w:rPr>
                <w:sz w:val="16"/>
                <w:szCs w:val="24"/>
              </w:rPr>
              <w:t>15</w:t>
            </w:r>
          </w:p>
        </w:tc>
        <w:tc>
          <w:tcPr>
            <w:tcW w:w="1048" w:type="dxa"/>
            <w:vAlign w:val="center"/>
          </w:tcPr>
          <w:p w:rsidR="004544A1" w:rsidRPr="00D01E27" w:rsidRDefault="004544A1" w:rsidP="00C76979">
            <w:pPr>
              <w:spacing w:line="360" w:lineRule="auto"/>
              <w:rPr>
                <w:sz w:val="16"/>
                <w:szCs w:val="24"/>
              </w:rPr>
            </w:pPr>
            <w:r w:rsidRPr="00D01E27">
              <w:rPr>
                <w:sz w:val="16"/>
                <w:szCs w:val="24"/>
              </w:rPr>
              <w:t>0,910</w:t>
            </w:r>
          </w:p>
        </w:tc>
        <w:tc>
          <w:tcPr>
            <w:tcW w:w="1050" w:type="dxa"/>
            <w:vAlign w:val="center"/>
          </w:tcPr>
          <w:p w:rsidR="004544A1" w:rsidRPr="00D01E27" w:rsidRDefault="00313419" w:rsidP="00C76979">
            <w:pPr>
              <w:spacing w:line="360" w:lineRule="auto"/>
              <w:rPr>
                <w:sz w:val="16"/>
                <w:szCs w:val="24"/>
              </w:rPr>
            </w:pPr>
            <w:r>
              <w:rPr>
                <w:sz w:val="16"/>
                <w:szCs w:val="24"/>
              </w:rPr>
              <w:t>Reliable</w:t>
            </w:r>
          </w:p>
        </w:tc>
      </w:tr>
      <w:tr w:rsidR="00D01E27" w:rsidTr="00C76979">
        <w:tc>
          <w:tcPr>
            <w:tcW w:w="534" w:type="dxa"/>
          </w:tcPr>
          <w:p w:rsidR="004544A1" w:rsidRPr="00D01E27" w:rsidRDefault="004544A1" w:rsidP="00D01E27">
            <w:pPr>
              <w:spacing w:line="360" w:lineRule="auto"/>
              <w:rPr>
                <w:sz w:val="16"/>
                <w:szCs w:val="24"/>
              </w:rPr>
            </w:pPr>
            <w:r w:rsidRPr="00D01E27">
              <w:rPr>
                <w:sz w:val="16"/>
                <w:szCs w:val="24"/>
              </w:rPr>
              <w:t>3</w:t>
            </w:r>
          </w:p>
        </w:tc>
        <w:tc>
          <w:tcPr>
            <w:tcW w:w="1599" w:type="dxa"/>
            <w:vAlign w:val="center"/>
          </w:tcPr>
          <w:p w:rsidR="004544A1" w:rsidRPr="00D01E27" w:rsidRDefault="00313419" w:rsidP="00D01E27">
            <w:pPr>
              <w:spacing w:line="360" w:lineRule="auto"/>
              <w:rPr>
                <w:sz w:val="16"/>
                <w:szCs w:val="24"/>
              </w:rPr>
            </w:pPr>
            <w:r>
              <w:rPr>
                <w:sz w:val="16"/>
                <w:szCs w:val="24"/>
              </w:rPr>
              <w:t>Students’ character</w:t>
            </w:r>
          </w:p>
        </w:tc>
        <w:tc>
          <w:tcPr>
            <w:tcW w:w="1049" w:type="dxa"/>
            <w:vAlign w:val="center"/>
          </w:tcPr>
          <w:p w:rsidR="004544A1" w:rsidRPr="00D01E27" w:rsidRDefault="004544A1" w:rsidP="00C76979">
            <w:pPr>
              <w:spacing w:line="360" w:lineRule="auto"/>
              <w:rPr>
                <w:sz w:val="16"/>
                <w:szCs w:val="24"/>
              </w:rPr>
            </w:pPr>
            <w:r w:rsidRPr="00D01E27">
              <w:rPr>
                <w:sz w:val="16"/>
                <w:szCs w:val="24"/>
              </w:rPr>
              <w:t>15</w:t>
            </w:r>
          </w:p>
        </w:tc>
        <w:tc>
          <w:tcPr>
            <w:tcW w:w="1048" w:type="dxa"/>
            <w:vAlign w:val="center"/>
          </w:tcPr>
          <w:p w:rsidR="004544A1" w:rsidRPr="00D01E27" w:rsidRDefault="004544A1" w:rsidP="00C76979">
            <w:pPr>
              <w:spacing w:line="360" w:lineRule="auto"/>
              <w:rPr>
                <w:sz w:val="16"/>
                <w:szCs w:val="24"/>
              </w:rPr>
            </w:pPr>
            <w:r w:rsidRPr="00D01E27">
              <w:rPr>
                <w:sz w:val="16"/>
                <w:szCs w:val="24"/>
              </w:rPr>
              <w:t>0,925</w:t>
            </w:r>
          </w:p>
        </w:tc>
        <w:tc>
          <w:tcPr>
            <w:tcW w:w="1050" w:type="dxa"/>
            <w:vAlign w:val="center"/>
          </w:tcPr>
          <w:p w:rsidR="004544A1" w:rsidRPr="00D01E27" w:rsidRDefault="00313419" w:rsidP="00C76979">
            <w:pPr>
              <w:spacing w:line="360" w:lineRule="auto"/>
              <w:rPr>
                <w:sz w:val="16"/>
                <w:szCs w:val="24"/>
              </w:rPr>
            </w:pPr>
            <w:r>
              <w:rPr>
                <w:sz w:val="16"/>
                <w:szCs w:val="24"/>
              </w:rPr>
              <w:t>Reliable</w:t>
            </w:r>
          </w:p>
        </w:tc>
      </w:tr>
    </w:tbl>
    <w:p w:rsidR="00544184" w:rsidRDefault="00544184" w:rsidP="004544A1">
      <w:pPr>
        <w:jc w:val="both"/>
      </w:pPr>
    </w:p>
    <w:p w:rsidR="001651B6" w:rsidRDefault="001651B6" w:rsidP="004544A1">
      <w:pPr>
        <w:jc w:val="both"/>
      </w:pPr>
      <w:r>
        <w:tab/>
        <w:t xml:space="preserve">The result of reliability test shows that after modification, the instrument was found to be reliable. </w:t>
      </w:r>
    </w:p>
    <w:p w:rsidR="006D7F2B" w:rsidRPr="006D7F2B" w:rsidRDefault="006D7F2B" w:rsidP="00544184"/>
    <w:p w:rsidR="008A55B5" w:rsidRPr="006D7F2B" w:rsidRDefault="00445774" w:rsidP="004901BB">
      <w:pPr>
        <w:pStyle w:val="Heading1"/>
        <w:ind w:firstLine="426"/>
      </w:pPr>
      <w:r w:rsidRPr="006D7F2B">
        <w:t>Results</w:t>
      </w:r>
    </w:p>
    <w:p w:rsidR="004901BB" w:rsidRPr="006D7F2B" w:rsidRDefault="001651B6" w:rsidP="004901BB">
      <w:pPr>
        <w:pStyle w:val="HTMLPreformatted"/>
        <w:ind w:firstLine="426"/>
        <w:jc w:val="both"/>
        <w:rPr>
          <w:rFonts w:ascii="Times New Roman" w:hAnsi="Times New Roman"/>
        </w:rPr>
      </w:pPr>
      <w:r>
        <w:rPr>
          <w:rFonts w:ascii="Times New Roman" w:hAnsi="Times New Roman"/>
        </w:rPr>
        <w:t xml:space="preserve">The response to questionnaires from students and teachers were analaluzed using  </w:t>
      </w:r>
      <w:r w:rsidR="004901BB" w:rsidRPr="006D7F2B">
        <w:rPr>
          <w:rFonts w:ascii="Times New Roman" w:hAnsi="Times New Roman"/>
        </w:rPr>
        <w:t>Equation Regression Model</w:t>
      </w:r>
      <w:r>
        <w:rPr>
          <w:rFonts w:ascii="Times New Roman" w:hAnsi="Times New Roman"/>
        </w:rPr>
        <w:t xml:space="preserve">. </w:t>
      </w:r>
      <w:r w:rsidR="004901BB" w:rsidRPr="006D7F2B">
        <w:rPr>
          <w:rFonts w:ascii="Times New Roman" w:hAnsi="Times New Roman"/>
        </w:rPr>
        <w:t>The equation of the regression model of the response variable Character of Educators (Y) with the independent variables Teacher Understanding (X_1) and Implementation of Curriculum 2013 (X_2) is as follows:</w:t>
      </w:r>
    </w:p>
    <w:p w:rsidR="004901BB" w:rsidRPr="006D7F2B" w:rsidRDefault="004901BB" w:rsidP="004901BB">
      <w:pPr>
        <w:pStyle w:val="HTMLPreformatted"/>
        <w:ind w:firstLine="426"/>
        <w:jc w:val="both"/>
        <w:rPr>
          <w:rFonts w:ascii="Times New Roman" w:hAnsi="Times New Roman"/>
        </w:rPr>
      </w:pPr>
    </w:p>
    <w:p w:rsidR="004901BB" w:rsidRPr="006D7F2B" w:rsidRDefault="004901BB" w:rsidP="004901BB">
      <w:pPr>
        <w:pStyle w:val="HTMLPreformatted"/>
        <w:ind w:firstLine="426"/>
        <w:rPr>
          <w:rFonts w:ascii="Times New Roman" w:hAnsi="Times New Roman"/>
        </w:rPr>
      </w:pPr>
      <w:r w:rsidRPr="006D7F2B">
        <w:rPr>
          <w:rFonts w:ascii="Times New Roman" w:hAnsi="Times New Roman"/>
        </w:rPr>
        <w:t>Ŷ = β0 + β1X1 + β2X2</w:t>
      </w:r>
    </w:p>
    <w:p w:rsidR="004901BB" w:rsidRPr="006D7F2B" w:rsidRDefault="004901BB" w:rsidP="004901BB">
      <w:pPr>
        <w:pStyle w:val="HTMLPreformatted"/>
        <w:ind w:firstLine="426"/>
        <w:rPr>
          <w:rFonts w:ascii="Times New Roman" w:hAnsi="Times New Roman"/>
        </w:rPr>
      </w:pPr>
      <w:r w:rsidRPr="006D7F2B">
        <w:rPr>
          <w:rFonts w:ascii="Times New Roman" w:hAnsi="Times New Roman"/>
        </w:rPr>
        <w:t>Ŷ = 0.066 + 0.170X1 + 0.832X2</w:t>
      </w:r>
    </w:p>
    <w:p w:rsidR="004901BB" w:rsidRPr="006D7F2B" w:rsidRDefault="004901BB" w:rsidP="004901BB">
      <w:pPr>
        <w:pStyle w:val="HTMLPreformatted"/>
        <w:ind w:firstLine="426"/>
        <w:rPr>
          <w:rFonts w:ascii="Times New Roman" w:hAnsi="Times New Roman"/>
        </w:rPr>
      </w:pP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t>That is, when all variables are free Understanding (X_1) and 2013 Curriculum Implementation (X_2) is zero (0), the Character of Students will be worth 0.066. So that every increase in one unit of Teacher Understanding variables (X_1), the Character of Students (Y) will increase by 0.170 assuming the variable Implementation of Curriculum 2013 (X_2) remains. Then, for every increase of one unit of the 2013 Curriculum Implementation variable (X_2), the Character of Students (Y) will decrease by 0.832 assuming the Teacher Understanding variable (X_1) remains.</w:t>
      </w:r>
    </w:p>
    <w:p w:rsidR="001651B6" w:rsidRDefault="001651B6" w:rsidP="001651B6">
      <w:pPr>
        <w:pStyle w:val="HTMLPreformatted"/>
        <w:rPr>
          <w:rFonts w:ascii="Times New Roman" w:hAnsi="Times New Roman"/>
        </w:rPr>
      </w:pPr>
    </w:p>
    <w:p w:rsidR="004901BB" w:rsidRPr="006D7F2B" w:rsidRDefault="004901BB" w:rsidP="001651B6">
      <w:pPr>
        <w:pStyle w:val="HTMLPreformatted"/>
        <w:rPr>
          <w:rFonts w:ascii="Times New Roman" w:hAnsi="Times New Roman"/>
        </w:rPr>
      </w:pPr>
      <w:r w:rsidRPr="001651B6">
        <w:rPr>
          <w:rFonts w:ascii="Times New Roman" w:hAnsi="Times New Roman"/>
          <w:b/>
        </w:rPr>
        <w:t>Correlation</w:t>
      </w: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t xml:space="preserve">Correlation values </w:t>
      </w:r>
      <w:r w:rsidRPr="006D7F2B">
        <w:rPr>
          <w:rFonts w:ascii="Times New Roman" w:hAnsi="Times New Roman" w:cs="Cambria Math"/>
        </w:rPr>
        <w:t>​​</w:t>
      </w:r>
      <w:r w:rsidRPr="006D7F2B">
        <w:rPr>
          <w:rFonts w:ascii="Times New Roman" w:hAnsi="Times New Roman"/>
        </w:rPr>
        <w:t>between variables can use the Pearson Correlation method. The correlation results can be seen in the table below:</w:t>
      </w:r>
    </w:p>
    <w:p w:rsidR="004901BB" w:rsidRPr="006D7F2B" w:rsidRDefault="004901BB" w:rsidP="004901BB">
      <w:pPr>
        <w:pStyle w:val="HTMLPreformatted"/>
        <w:ind w:firstLine="426"/>
        <w:rPr>
          <w:rFonts w:ascii="Times New Roman" w:hAnsi="Times New Roman"/>
        </w:rPr>
      </w:pPr>
    </w:p>
    <w:p w:rsidR="004901BB" w:rsidRDefault="004901BB" w:rsidP="004901BB">
      <w:pPr>
        <w:pStyle w:val="HTMLPreformatted"/>
        <w:ind w:firstLine="426"/>
        <w:rPr>
          <w:rFonts w:ascii="Times New Roman" w:hAnsi="Times New Roman"/>
          <w:b/>
        </w:rPr>
      </w:pPr>
      <w:r w:rsidRPr="006D7F2B">
        <w:rPr>
          <w:rFonts w:ascii="Times New Roman" w:hAnsi="Times New Roman"/>
          <w:b/>
        </w:rPr>
        <w:t xml:space="preserve">Table </w:t>
      </w:r>
      <w:r w:rsidR="004544A1">
        <w:rPr>
          <w:rFonts w:ascii="Times New Roman" w:hAnsi="Times New Roman"/>
          <w:b/>
        </w:rPr>
        <w:t xml:space="preserve">2 </w:t>
      </w:r>
      <w:r w:rsidR="004544A1" w:rsidRPr="004544A1">
        <w:rPr>
          <w:rFonts w:ascii="Times New Roman" w:hAnsi="Times New Roman"/>
        </w:rPr>
        <w:t>I</w:t>
      </w:r>
      <w:r w:rsidRPr="004544A1">
        <w:rPr>
          <w:rFonts w:ascii="Times New Roman" w:hAnsi="Times New Roman"/>
        </w:rPr>
        <w:t>ntervariable correlation</w:t>
      </w:r>
    </w:p>
    <w:p w:rsidR="004544A1" w:rsidRDefault="004544A1" w:rsidP="004901BB">
      <w:pPr>
        <w:pStyle w:val="HTMLPreformatted"/>
        <w:ind w:firstLine="426"/>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14"/>
        <w:gridCol w:w="1314"/>
        <w:gridCol w:w="1314"/>
      </w:tblGrid>
      <w:tr w:rsidR="00D01E27" w:rsidTr="00C76979">
        <w:tc>
          <w:tcPr>
            <w:tcW w:w="1314" w:type="dxa"/>
          </w:tcPr>
          <w:p w:rsidR="004544A1" w:rsidRPr="00D01E27" w:rsidRDefault="004544A1" w:rsidP="00D01E27">
            <w:pPr>
              <w:pStyle w:val="HTMLPreformatted"/>
              <w:jc w:val="center"/>
              <w:rPr>
                <w:rFonts w:ascii="Times New Roman" w:hAnsi="Times New Roman"/>
                <w:b/>
                <w:sz w:val="16"/>
              </w:rPr>
            </w:pPr>
            <w:r w:rsidRPr="00D01E27">
              <w:rPr>
                <w:rFonts w:ascii="Times New Roman" w:hAnsi="Times New Roman"/>
                <w:b/>
                <w:sz w:val="16"/>
              </w:rPr>
              <w:t>Variables</w:t>
            </w:r>
          </w:p>
        </w:tc>
        <w:tc>
          <w:tcPr>
            <w:tcW w:w="1314" w:type="dxa"/>
          </w:tcPr>
          <w:p w:rsidR="004544A1" w:rsidRPr="00D01E27" w:rsidRDefault="004544A1" w:rsidP="00D01E27">
            <w:pPr>
              <w:pStyle w:val="HTMLPreformatted"/>
              <w:jc w:val="center"/>
              <w:rPr>
                <w:rFonts w:ascii="Times New Roman" w:hAnsi="Times New Roman"/>
                <w:b/>
                <w:sz w:val="16"/>
              </w:rPr>
            </w:pPr>
            <w:r w:rsidRPr="00D01E27">
              <w:rPr>
                <w:rFonts w:ascii="Times New Roman" w:hAnsi="Times New Roman"/>
                <w:b/>
                <w:sz w:val="16"/>
              </w:rPr>
              <w:t>K13 Implementation</w:t>
            </w:r>
          </w:p>
        </w:tc>
        <w:tc>
          <w:tcPr>
            <w:tcW w:w="1314" w:type="dxa"/>
          </w:tcPr>
          <w:p w:rsidR="004544A1" w:rsidRPr="00D01E27" w:rsidRDefault="004544A1" w:rsidP="00D01E27">
            <w:pPr>
              <w:pStyle w:val="HTMLPreformatted"/>
              <w:jc w:val="center"/>
              <w:rPr>
                <w:rFonts w:ascii="Times New Roman" w:hAnsi="Times New Roman"/>
                <w:b/>
                <w:sz w:val="16"/>
              </w:rPr>
            </w:pPr>
            <w:r w:rsidRPr="00D01E27">
              <w:rPr>
                <w:rFonts w:ascii="Times New Roman" w:hAnsi="Times New Roman"/>
                <w:b/>
                <w:sz w:val="16"/>
              </w:rPr>
              <w:t>K13 Implementation</w:t>
            </w:r>
          </w:p>
        </w:tc>
        <w:tc>
          <w:tcPr>
            <w:tcW w:w="1314" w:type="dxa"/>
          </w:tcPr>
          <w:p w:rsidR="004544A1" w:rsidRPr="00D01E27" w:rsidRDefault="004544A1" w:rsidP="00D01E27">
            <w:pPr>
              <w:pStyle w:val="HTMLPreformatted"/>
              <w:jc w:val="center"/>
              <w:rPr>
                <w:rFonts w:ascii="Times New Roman" w:hAnsi="Times New Roman"/>
                <w:b/>
                <w:sz w:val="16"/>
              </w:rPr>
            </w:pPr>
            <w:r w:rsidRPr="00D01E27">
              <w:rPr>
                <w:rFonts w:ascii="Times New Roman" w:hAnsi="Times New Roman"/>
                <w:b/>
                <w:sz w:val="16"/>
              </w:rPr>
              <w:t>Students’ character</w:t>
            </w:r>
          </w:p>
        </w:tc>
      </w:tr>
      <w:tr w:rsidR="00D01E27" w:rsidTr="00C76979">
        <w:tc>
          <w:tcPr>
            <w:tcW w:w="1314" w:type="dxa"/>
          </w:tcPr>
          <w:p w:rsidR="004544A1" w:rsidRPr="00D01E27" w:rsidRDefault="004544A1" w:rsidP="00D01E27">
            <w:pPr>
              <w:pStyle w:val="HTMLPreformatted"/>
              <w:jc w:val="center"/>
              <w:rPr>
                <w:rFonts w:ascii="Times New Roman" w:hAnsi="Times New Roman"/>
                <w:b/>
                <w:sz w:val="16"/>
              </w:rPr>
            </w:pPr>
            <w:r w:rsidRPr="00D01E27">
              <w:rPr>
                <w:rFonts w:ascii="Times New Roman" w:hAnsi="Times New Roman"/>
                <w:b/>
                <w:sz w:val="16"/>
              </w:rPr>
              <w:t>Teachers’ Understanding</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1</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0.610</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0.658</w:t>
            </w:r>
          </w:p>
        </w:tc>
      </w:tr>
      <w:tr w:rsidR="00D01E27" w:rsidTr="00C76979">
        <w:tc>
          <w:tcPr>
            <w:tcW w:w="1314" w:type="dxa"/>
          </w:tcPr>
          <w:p w:rsidR="004544A1" w:rsidRPr="00D01E27" w:rsidRDefault="004544A1" w:rsidP="00D01E27">
            <w:pPr>
              <w:pStyle w:val="HTMLPreformatted"/>
              <w:jc w:val="center"/>
              <w:rPr>
                <w:rFonts w:ascii="Times New Roman" w:hAnsi="Times New Roman"/>
                <w:b/>
                <w:sz w:val="16"/>
              </w:rPr>
            </w:pPr>
            <w:r w:rsidRPr="00D01E27">
              <w:rPr>
                <w:rFonts w:ascii="Times New Roman" w:hAnsi="Times New Roman"/>
                <w:b/>
                <w:sz w:val="16"/>
              </w:rPr>
              <w:t>K13 Implementation</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0.610</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1</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0.810</w:t>
            </w:r>
          </w:p>
        </w:tc>
      </w:tr>
      <w:tr w:rsidR="00D01E27" w:rsidTr="00C76979">
        <w:tc>
          <w:tcPr>
            <w:tcW w:w="1314" w:type="dxa"/>
          </w:tcPr>
          <w:p w:rsidR="004544A1" w:rsidRPr="00D01E27" w:rsidRDefault="004544A1" w:rsidP="00D01E27">
            <w:pPr>
              <w:pStyle w:val="HTMLPreformatted"/>
              <w:jc w:val="center"/>
              <w:rPr>
                <w:rFonts w:ascii="Times New Roman" w:hAnsi="Times New Roman"/>
                <w:b/>
                <w:sz w:val="16"/>
              </w:rPr>
            </w:pPr>
            <w:r w:rsidRPr="00D01E27">
              <w:rPr>
                <w:rFonts w:ascii="Times New Roman" w:hAnsi="Times New Roman"/>
                <w:b/>
                <w:sz w:val="16"/>
              </w:rPr>
              <w:t>Students’ character</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0.558</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0.810</w:t>
            </w:r>
          </w:p>
        </w:tc>
        <w:tc>
          <w:tcPr>
            <w:tcW w:w="1314" w:type="dxa"/>
            <w:vAlign w:val="center"/>
          </w:tcPr>
          <w:p w:rsidR="004544A1" w:rsidRPr="00D01E27" w:rsidRDefault="004544A1" w:rsidP="00C76979">
            <w:pPr>
              <w:pStyle w:val="HTMLPreformatted"/>
              <w:jc w:val="center"/>
              <w:rPr>
                <w:rFonts w:ascii="Times New Roman" w:hAnsi="Times New Roman"/>
                <w:sz w:val="16"/>
              </w:rPr>
            </w:pPr>
            <w:r w:rsidRPr="00D01E27">
              <w:rPr>
                <w:rFonts w:ascii="Times New Roman" w:hAnsi="Times New Roman"/>
                <w:sz w:val="16"/>
              </w:rPr>
              <w:t>1</w:t>
            </w:r>
          </w:p>
        </w:tc>
      </w:tr>
    </w:tbl>
    <w:p w:rsidR="004901BB" w:rsidRDefault="004901BB" w:rsidP="004901BB">
      <w:pPr>
        <w:pStyle w:val="HTMLPreformatted"/>
        <w:ind w:firstLine="426"/>
        <w:rPr>
          <w:rFonts w:ascii="Times New Roman" w:hAnsi="Times New Roman"/>
        </w:rPr>
      </w:pP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t>Based on the table above, the close relationship between the Teacher Understanding variable and the 2013 Curriculum Implementation variable is 0.610. The close relationship between the Teacher Understanding variable and the Student Character variable is 0.558. Then, the relationship between educational facilities and infrastructure variables with the education quality variable is 0.810.</w:t>
      </w: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lastRenderedPageBreak/>
        <w:t>As for the coefficient of determination (appendix 4), the Teacher Understanding variable (X_1) and the 2013 Curriculum Implementation (X_2) can explain the student character variable (Y) of 65.8% (0.658), and the rest is explained by other factors that are unable explained by the model.</w:t>
      </w:r>
    </w:p>
    <w:p w:rsidR="004901BB" w:rsidRPr="006D7F2B" w:rsidRDefault="004901BB" w:rsidP="004901BB">
      <w:pPr>
        <w:pStyle w:val="HTMLPreformatted"/>
        <w:ind w:firstLine="426"/>
        <w:rPr>
          <w:rFonts w:ascii="Times New Roman" w:hAnsi="Times New Roman"/>
        </w:rPr>
      </w:pPr>
    </w:p>
    <w:p w:rsidR="004901BB" w:rsidRPr="006D7F2B" w:rsidRDefault="004901BB" w:rsidP="001651B6">
      <w:pPr>
        <w:pStyle w:val="HTMLPreformatted"/>
        <w:rPr>
          <w:rFonts w:ascii="Times New Roman" w:hAnsi="Times New Roman"/>
          <w:b/>
        </w:rPr>
      </w:pPr>
      <w:r w:rsidRPr="006D7F2B">
        <w:rPr>
          <w:rFonts w:ascii="Times New Roman" w:hAnsi="Times New Roman"/>
          <w:b/>
        </w:rPr>
        <w:t>Partial Test</w:t>
      </w: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t xml:space="preserve">Partial test </w:t>
      </w:r>
      <w:r w:rsidR="001651B6">
        <w:rPr>
          <w:rFonts w:ascii="Times New Roman" w:hAnsi="Times New Roman"/>
        </w:rPr>
        <w:t xml:space="preserve">was </w:t>
      </w:r>
      <w:r w:rsidRPr="006D7F2B">
        <w:rPr>
          <w:rFonts w:ascii="Times New Roman" w:hAnsi="Times New Roman"/>
        </w:rPr>
        <w:t>used to see whether each independent variable</w:t>
      </w:r>
      <w:r w:rsidR="001651B6">
        <w:rPr>
          <w:rFonts w:ascii="Times New Roman" w:hAnsi="Times New Roman"/>
        </w:rPr>
        <w:t>s</w:t>
      </w:r>
      <w:r w:rsidRPr="006D7F2B">
        <w:rPr>
          <w:rFonts w:ascii="Times New Roman" w:hAnsi="Times New Roman"/>
        </w:rPr>
        <w:t xml:space="preserve"> (Teacher Understanding and 2013 Curriculum Implementation) influences the Character of Students.</w:t>
      </w:r>
    </w:p>
    <w:p w:rsidR="004901BB" w:rsidRPr="006D7F2B" w:rsidRDefault="001651B6" w:rsidP="004901BB">
      <w:pPr>
        <w:pStyle w:val="HTMLPreformatted"/>
        <w:ind w:firstLine="426"/>
        <w:jc w:val="both"/>
        <w:rPr>
          <w:rFonts w:ascii="Times New Roman" w:hAnsi="Times New Roman"/>
        </w:rPr>
      </w:pPr>
      <w:r>
        <w:rPr>
          <w:rFonts w:ascii="Times New Roman" w:hAnsi="Times New Roman"/>
        </w:rPr>
        <w:t>The hypothese</w:t>
      </w:r>
      <w:r w:rsidR="004901BB" w:rsidRPr="006D7F2B">
        <w:rPr>
          <w:rFonts w:ascii="Times New Roman" w:hAnsi="Times New Roman"/>
        </w:rPr>
        <w:t xml:space="preserve">s </w:t>
      </w:r>
      <w:r>
        <w:rPr>
          <w:rFonts w:ascii="Times New Roman" w:hAnsi="Times New Roman"/>
        </w:rPr>
        <w:t xml:space="preserve">(teachers’ understanding) </w:t>
      </w:r>
      <w:r w:rsidR="004901BB" w:rsidRPr="006D7F2B">
        <w:rPr>
          <w:rFonts w:ascii="Times New Roman" w:hAnsi="Times New Roman"/>
        </w:rPr>
        <w:t xml:space="preserve">used in this test </w:t>
      </w:r>
      <w:r>
        <w:rPr>
          <w:rFonts w:ascii="Times New Roman" w:hAnsi="Times New Roman"/>
        </w:rPr>
        <w:t xml:space="preserve">are </w:t>
      </w:r>
      <w:r w:rsidR="004901BB" w:rsidRPr="006D7F2B">
        <w:rPr>
          <w:rFonts w:ascii="Times New Roman" w:hAnsi="Times New Roman"/>
        </w:rPr>
        <w:t>as follows:</w:t>
      </w:r>
    </w:p>
    <w:p w:rsidR="004901BB" w:rsidRPr="006D7F2B" w:rsidRDefault="004901BB" w:rsidP="004901BB">
      <w:pPr>
        <w:pStyle w:val="HTMLPreformatted"/>
        <w:ind w:firstLine="426"/>
        <w:jc w:val="both"/>
        <w:rPr>
          <w:rFonts w:ascii="Times New Roman" w:hAnsi="Times New Roman"/>
        </w:rPr>
      </w:pPr>
    </w:p>
    <w:p w:rsidR="004901BB" w:rsidRPr="006D7F2B" w:rsidRDefault="00135A47" w:rsidP="001651B6">
      <w:pPr>
        <w:pStyle w:val="HTMLPreformatted"/>
        <w:ind w:left="426"/>
        <w:rPr>
          <w:rFonts w:ascii="Times New Roman" w:hAnsi="Times New Roman"/>
        </w:rPr>
      </w:pPr>
      <w:r>
        <w:rPr>
          <w:rFonts w:ascii="Times New Roman" w:hAnsi="Times New Roman"/>
        </w:rPr>
        <w:t>H</w:t>
      </w:r>
      <w:r w:rsidR="004901BB" w:rsidRPr="006D7F2B">
        <w:rPr>
          <w:rFonts w:ascii="Times New Roman" w:hAnsi="Times New Roman"/>
        </w:rPr>
        <w:t>0: Teacher's understanding does not affect the Character of Students.</w:t>
      </w:r>
    </w:p>
    <w:p w:rsidR="004901BB" w:rsidRPr="006D7F2B" w:rsidRDefault="00135A47" w:rsidP="001651B6">
      <w:pPr>
        <w:pStyle w:val="HTMLPreformatted"/>
        <w:ind w:left="426"/>
        <w:rPr>
          <w:rFonts w:ascii="Times New Roman" w:hAnsi="Times New Roman"/>
        </w:rPr>
      </w:pPr>
      <w:r>
        <w:rPr>
          <w:rFonts w:ascii="Times New Roman" w:hAnsi="Times New Roman"/>
        </w:rPr>
        <w:t>H</w:t>
      </w:r>
      <w:r w:rsidR="004901BB" w:rsidRPr="006D7F2B">
        <w:rPr>
          <w:rFonts w:ascii="Times New Roman" w:hAnsi="Times New Roman"/>
        </w:rPr>
        <w:t>1: Teacher's understanding affects the Character of Students.</w:t>
      </w:r>
    </w:p>
    <w:p w:rsidR="004901BB" w:rsidRPr="006D7F2B" w:rsidRDefault="004901BB" w:rsidP="004901BB">
      <w:pPr>
        <w:pStyle w:val="HTMLPreformatted"/>
        <w:ind w:firstLine="426"/>
        <w:jc w:val="both"/>
        <w:rPr>
          <w:rFonts w:ascii="Times New Roman" w:hAnsi="Times New Roman"/>
        </w:rPr>
      </w:pP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t>By using alpha (α) of 0.1 (10%), the value of t_ (0.1,180) is ± 1.653. Based on the results of the calculation, the t value of the test is 1,846. This indicates that the value of t is greater than the value of t_ (0.1,180) so that the null hypothesis is rejected. It can be concluded that Teacher's Understanding affects the Character of Students.</w:t>
      </w:r>
    </w:p>
    <w:p w:rsidR="004901BB" w:rsidRPr="006D7F2B" w:rsidRDefault="004901BB" w:rsidP="004901BB">
      <w:pPr>
        <w:pStyle w:val="HTMLPreformatted"/>
        <w:ind w:firstLine="426"/>
        <w:jc w:val="both"/>
        <w:rPr>
          <w:rFonts w:ascii="Times New Roman" w:hAnsi="Times New Roman"/>
        </w:rPr>
      </w:pPr>
    </w:p>
    <w:p w:rsidR="004901BB" w:rsidRPr="006D7F2B" w:rsidRDefault="001651B6" w:rsidP="004901BB">
      <w:pPr>
        <w:pStyle w:val="HTMLPreformatted"/>
        <w:ind w:firstLine="426"/>
        <w:jc w:val="both"/>
        <w:rPr>
          <w:rFonts w:ascii="Times New Roman" w:hAnsi="Times New Roman"/>
        </w:rPr>
      </w:pPr>
      <w:r>
        <w:rPr>
          <w:rFonts w:ascii="Times New Roman" w:hAnsi="Times New Roman"/>
        </w:rPr>
        <w:t xml:space="preserve">For the </w:t>
      </w:r>
      <w:r w:rsidR="004901BB" w:rsidRPr="006D7F2B">
        <w:rPr>
          <w:rFonts w:ascii="Times New Roman" w:hAnsi="Times New Roman"/>
        </w:rPr>
        <w:t>Implementation of 2013 Curricul</w:t>
      </w:r>
      <w:r>
        <w:rPr>
          <w:rFonts w:ascii="Times New Roman" w:hAnsi="Times New Roman"/>
        </w:rPr>
        <w:t>um on the Character of Students,  the following hypothese</w:t>
      </w:r>
      <w:r w:rsidR="004901BB" w:rsidRPr="006D7F2B">
        <w:rPr>
          <w:rFonts w:ascii="Times New Roman" w:hAnsi="Times New Roman"/>
        </w:rPr>
        <w:t xml:space="preserve">s </w:t>
      </w:r>
      <w:r>
        <w:rPr>
          <w:rFonts w:ascii="Times New Roman" w:hAnsi="Times New Roman"/>
        </w:rPr>
        <w:t>were formulated.</w:t>
      </w:r>
    </w:p>
    <w:p w:rsidR="004901BB" w:rsidRPr="006D7F2B" w:rsidRDefault="004901BB" w:rsidP="004901BB">
      <w:pPr>
        <w:pStyle w:val="HTMLPreformatted"/>
        <w:ind w:firstLine="426"/>
        <w:jc w:val="both"/>
        <w:rPr>
          <w:rFonts w:ascii="Times New Roman" w:hAnsi="Times New Roman"/>
        </w:rPr>
      </w:pPr>
    </w:p>
    <w:p w:rsidR="004901BB" w:rsidRPr="006D7F2B" w:rsidRDefault="004901BB" w:rsidP="001651B6">
      <w:pPr>
        <w:pStyle w:val="HTMLPreformatted"/>
        <w:ind w:left="426"/>
        <w:jc w:val="both"/>
        <w:rPr>
          <w:rFonts w:ascii="Times New Roman" w:hAnsi="Times New Roman"/>
        </w:rPr>
      </w:pPr>
      <w:r w:rsidRPr="006D7F2B">
        <w:rPr>
          <w:rFonts w:ascii="Times New Roman" w:hAnsi="Times New Roman"/>
        </w:rPr>
        <w:t>H_0: Implementation of 2013 Curriculum does not affect the Character of Students.</w:t>
      </w:r>
    </w:p>
    <w:p w:rsidR="004901BB" w:rsidRPr="006D7F2B" w:rsidRDefault="00135A47" w:rsidP="001651B6">
      <w:pPr>
        <w:pStyle w:val="HTMLPreformatted"/>
        <w:ind w:left="426"/>
        <w:jc w:val="both"/>
        <w:rPr>
          <w:rFonts w:ascii="Times New Roman" w:hAnsi="Times New Roman"/>
        </w:rPr>
      </w:pPr>
      <w:r>
        <w:rPr>
          <w:rFonts w:ascii="Times New Roman" w:hAnsi="Times New Roman"/>
        </w:rPr>
        <w:t>H</w:t>
      </w:r>
      <w:r w:rsidR="004901BB" w:rsidRPr="006D7F2B">
        <w:rPr>
          <w:rFonts w:ascii="Times New Roman" w:hAnsi="Times New Roman"/>
        </w:rPr>
        <w:t>1: Curriculum Implementation influences the Character of Students.</w:t>
      </w: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t>By using alpha (α) of 0.1 (10%), the value of t</w:t>
      </w:r>
      <w:r w:rsidR="001651B6" w:rsidRPr="001651B6">
        <w:rPr>
          <w:rFonts w:ascii="Times New Roman" w:hAnsi="Times New Roman"/>
          <w:vertAlign w:val="subscript"/>
        </w:rPr>
        <w:t>0.1178</w:t>
      </w:r>
      <w:r w:rsidR="009D2A22">
        <w:rPr>
          <w:rFonts w:ascii="Times New Roman" w:hAnsi="Times New Roman"/>
        </w:rPr>
        <w:t xml:space="preserve"> (0.1,178) is ± 1.</w:t>
      </w:r>
      <w:r w:rsidRPr="006D7F2B">
        <w:rPr>
          <w:rFonts w:ascii="Times New Roman" w:hAnsi="Times New Roman"/>
        </w:rPr>
        <w:t>653.</w:t>
      </w:r>
    </w:p>
    <w:p w:rsidR="004901BB" w:rsidRPr="006D7F2B" w:rsidRDefault="004901BB" w:rsidP="004901BB">
      <w:pPr>
        <w:pStyle w:val="HTMLPreformatted"/>
        <w:ind w:firstLine="426"/>
        <w:jc w:val="both"/>
        <w:rPr>
          <w:rFonts w:ascii="Times New Roman" w:hAnsi="Times New Roman"/>
        </w:rPr>
      </w:pPr>
      <w:r w:rsidRPr="006D7F2B">
        <w:rPr>
          <w:rFonts w:ascii="Times New Roman" w:hAnsi="Times New Roman"/>
        </w:rPr>
        <w:t xml:space="preserve">Based on the results of the </w:t>
      </w:r>
      <w:r w:rsidR="009D2A22">
        <w:rPr>
          <w:rFonts w:ascii="Times New Roman" w:hAnsi="Times New Roman"/>
        </w:rPr>
        <w:t>calculation, the value of the t</w:t>
      </w:r>
      <w:r w:rsidRPr="009D2A22">
        <w:rPr>
          <w:rFonts w:ascii="Times New Roman" w:hAnsi="Times New Roman"/>
          <w:vertAlign w:val="subscript"/>
        </w:rPr>
        <w:t>test</w:t>
      </w:r>
      <w:r w:rsidRPr="006D7F2B">
        <w:rPr>
          <w:rFonts w:ascii="Times New Roman" w:hAnsi="Times New Roman"/>
        </w:rPr>
        <w:t xml:space="preserve"> was 13.606. This indicates that the value of t</w:t>
      </w:r>
      <w:r w:rsidR="009D2A22">
        <w:rPr>
          <w:rFonts w:ascii="Times New Roman" w:hAnsi="Times New Roman"/>
        </w:rPr>
        <w:t xml:space="preserve"> is greater than the value of t</w:t>
      </w:r>
      <w:r w:rsidR="009D2A22" w:rsidRPr="009D2A22">
        <w:rPr>
          <w:rFonts w:ascii="Times New Roman" w:hAnsi="Times New Roman"/>
          <w:vertAlign w:val="subscript"/>
        </w:rPr>
        <w:t>0.1180</w:t>
      </w:r>
      <w:r w:rsidRPr="006D7F2B">
        <w:rPr>
          <w:rFonts w:ascii="Times New Roman" w:hAnsi="Times New Roman"/>
        </w:rPr>
        <w:t xml:space="preserve"> so that the null hypothesis is rejected. </w:t>
      </w:r>
      <w:r w:rsidR="009D2A22">
        <w:rPr>
          <w:rFonts w:ascii="Times New Roman" w:hAnsi="Times New Roman"/>
        </w:rPr>
        <w:t>Therefore, it</w:t>
      </w:r>
      <w:r w:rsidRPr="006D7F2B">
        <w:rPr>
          <w:rFonts w:ascii="Times New Roman" w:hAnsi="Times New Roman"/>
        </w:rPr>
        <w:t xml:space="preserve"> can be concluded that the Implementation of 2013 Curriculum influences the Character of Students.</w:t>
      </w:r>
    </w:p>
    <w:p w:rsidR="004901BB" w:rsidRPr="006D7F2B" w:rsidRDefault="004901BB" w:rsidP="004901BB">
      <w:pPr>
        <w:pStyle w:val="HTMLPreformatted"/>
        <w:ind w:firstLine="426"/>
        <w:rPr>
          <w:rFonts w:ascii="Times New Roman" w:hAnsi="Times New Roman"/>
        </w:rPr>
      </w:pPr>
    </w:p>
    <w:p w:rsidR="008A55B5" w:rsidRPr="006D7F2B" w:rsidRDefault="00445774" w:rsidP="004901BB">
      <w:pPr>
        <w:pStyle w:val="Heading1"/>
        <w:ind w:firstLine="426"/>
      </w:pPr>
      <w:r w:rsidRPr="006D7F2B">
        <w:t>discussion</w:t>
      </w:r>
    </w:p>
    <w:p w:rsidR="004901BB" w:rsidRPr="006D7F2B" w:rsidRDefault="00C47611" w:rsidP="004901BB">
      <w:pPr>
        <w:ind w:firstLine="426"/>
        <w:jc w:val="both"/>
      </w:pPr>
      <w:r>
        <w:t>The results of the examination of the factors in this study suggests no less the the importance and urgency of K-13  implementation. The findings show that the implementation and teachers’ understanding of the curriculum have positive correlation with the development of student character.</w:t>
      </w:r>
      <w:r w:rsidR="00455C2D">
        <w:t xml:space="preserve"> This means that </w:t>
      </w:r>
      <w:r w:rsidR="004901BB" w:rsidRPr="006D7F2B">
        <w:t xml:space="preserve">some schools were strong in their implementation and </w:t>
      </w:r>
      <w:r w:rsidR="00455C2D">
        <w:t>teachers’ understanding</w:t>
      </w:r>
      <w:r w:rsidR="004901BB" w:rsidRPr="006D7F2B">
        <w:t>, and therefore, showed higher values in the response of their students to the questionaires. But many schools were still unsucessful in their implem</w:t>
      </w:r>
      <w:r w:rsidR="00455C2D">
        <w:t>entation</w:t>
      </w:r>
      <w:r w:rsidR="004901BB" w:rsidRPr="006D7F2B">
        <w:t xml:space="preserve"> of </w:t>
      </w:r>
      <w:r w:rsidR="00455C2D">
        <w:t xml:space="preserve">the curriculum </w:t>
      </w:r>
      <w:r w:rsidR="004901BB" w:rsidRPr="006D7F2B">
        <w:t xml:space="preserve">and </w:t>
      </w:r>
      <w:r w:rsidR="00455C2D">
        <w:t xml:space="preserve">some schools still have to deal with </w:t>
      </w:r>
      <w:r w:rsidR="004901BB" w:rsidRPr="006D7F2B">
        <w:t>low teac</w:t>
      </w:r>
      <w:r w:rsidR="00455C2D">
        <w:t xml:space="preserve">hers’ understanding of the </w:t>
      </w:r>
      <w:r w:rsidR="004901BB" w:rsidRPr="006D7F2B">
        <w:t>cur</w:t>
      </w:r>
      <w:r w:rsidR="00455C2D">
        <w:t>riculum</w:t>
      </w:r>
      <w:r w:rsidR="004901BB" w:rsidRPr="006D7F2B">
        <w:t xml:space="preserve"> and </w:t>
      </w:r>
      <w:r w:rsidR="00455C2D">
        <w:t xml:space="preserve">the diea of </w:t>
      </w:r>
      <w:r w:rsidR="004901BB" w:rsidRPr="006D7F2B">
        <w:t xml:space="preserve">character </w:t>
      </w:r>
      <w:r w:rsidR="00455C2D">
        <w:t xml:space="preserve">building </w:t>
      </w:r>
      <w:r w:rsidR="004901BB" w:rsidRPr="006D7F2B">
        <w:t xml:space="preserve">and </w:t>
      </w:r>
      <w:r w:rsidR="00455C2D">
        <w:t xml:space="preserve">therefore, at the schools, </w:t>
      </w:r>
      <w:r w:rsidR="004901BB" w:rsidRPr="006D7F2B">
        <w:lastRenderedPageBreak/>
        <w:t>stud</w:t>
      </w:r>
      <w:r w:rsidR="00455C2D">
        <w:t>ents</w:t>
      </w:r>
      <w:r w:rsidR="004901BB" w:rsidRPr="006D7F2B">
        <w:t xml:space="preserve"> score lower in te</w:t>
      </w:r>
      <w:r w:rsidR="00455C2D">
        <w:t>h</w:t>
      </w:r>
      <w:r w:rsidR="004901BB" w:rsidRPr="006D7F2B">
        <w:t>ir resp</w:t>
      </w:r>
      <w:r w:rsidR="00455C2D">
        <w:t>onse</w:t>
      </w:r>
      <w:r w:rsidR="004901BB" w:rsidRPr="006D7F2B">
        <w:t xml:space="preserve"> to the </w:t>
      </w:r>
      <w:r w:rsidR="00455C2D">
        <w:t xml:space="preserve">questionnaire </w:t>
      </w:r>
      <w:r w:rsidR="004901BB" w:rsidRPr="006D7F2B">
        <w:t>items.</w:t>
      </w:r>
    </w:p>
    <w:p w:rsidR="004901BB" w:rsidRPr="006D7F2B" w:rsidRDefault="00D15DB7" w:rsidP="004570A2">
      <w:pPr>
        <w:ind w:firstLine="426"/>
        <w:jc w:val="both"/>
      </w:pPr>
      <w:r>
        <w:t>Teachers have been complaining about Curriculum 2013 since the time it was introduced</w:t>
      </w:r>
      <w:r w:rsidR="009C13AE">
        <w:t xml:space="preserve"> [</w:t>
      </w:r>
      <w:r w:rsidR="00FA7429">
        <w:t>15</w:t>
      </w:r>
      <w:r w:rsidR="009C13AE">
        <w:t xml:space="preserve">]. </w:t>
      </w:r>
      <w:r>
        <w:t xml:space="preserve">The complaints range from lack of resources </w:t>
      </w:r>
      <w:r w:rsidR="009C13AE">
        <w:t>[</w:t>
      </w:r>
      <w:r w:rsidR="00FA7429">
        <w:t>16</w:t>
      </w:r>
      <w:r w:rsidR="009C13AE">
        <w:t>]</w:t>
      </w:r>
      <w:r>
        <w:t xml:space="preserve"> to the lack of teachers’ understanding of </w:t>
      </w:r>
      <w:r w:rsidR="00FB53E3">
        <w:t xml:space="preserve">and confusion about </w:t>
      </w:r>
      <w:r>
        <w:t xml:space="preserve">the curriculum despite the trainings that have been organized </w:t>
      </w:r>
      <w:r w:rsidR="009C13AE">
        <w:t>[15]</w:t>
      </w:r>
      <w:r>
        <w:t xml:space="preserve"> which </w:t>
      </w:r>
      <w:r w:rsidR="009C13AE">
        <w:t xml:space="preserve">can </w:t>
      </w:r>
      <w:r w:rsidR="006D6C03">
        <w:t xml:space="preserve">delay the success of </w:t>
      </w:r>
      <w:r>
        <w:t>the implementation</w:t>
      </w:r>
      <w:r w:rsidR="006D6C03">
        <w:t xml:space="preserve"> of the curriculum</w:t>
      </w:r>
      <w:r>
        <w:t xml:space="preserve">. </w:t>
      </w:r>
      <w:r w:rsidR="004570A2" w:rsidRPr="004570A2">
        <w:t xml:space="preserve">The </w:t>
      </w:r>
      <w:r w:rsidR="004570A2">
        <w:t>ministry of education should continuously address this issues especially after 5 years of the curriculum introduction including some revision of the curriculum. Although pessimistic views which say that the curriculum is unrealistic are still held by a few, the curriculum promises improvement of the education including the emphasis on skills and character values. Moreover, the present study has also showed that there is correlation between the K13 implementation and teachers’ understanding and students’ character. The next step is supervision and monitoring of the implementation should be closely performed and teachers, of all other stakeholders, play central roles.</w:t>
      </w:r>
    </w:p>
    <w:p w:rsidR="004901BB" w:rsidRPr="006D7F2B" w:rsidRDefault="004901BB" w:rsidP="004901BB">
      <w:pPr>
        <w:ind w:firstLine="426"/>
        <w:jc w:val="both"/>
      </w:pPr>
    </w:p>
    <w:p w:rsidR="00445774" w:rsidRPr="006D7F2B" w:rsidRDefault="00445774" w:rsidP="004901BB">
      <w:pPr>
        <w:pStyle w:val="Heading1"/>
        <w:ind w:firstLine="426"/>
      </w:pPr>
      <w:r w:rsidRPr="006D7F2B">
        <w:t>Concluding note</w:t>
      </w:r>
    </w:p>
    <w:p w:rsidR="004901BB" w:rsidRDefault="004901BB" w:rsidP="004901BB">
      <w:pPr>
        <w:ind w:firstLine="426"/>
        <w:jc w:val="both"/>
      </w:pPr>
      <w:r w:rsidRPr="006D7F2B">
        <w:t xml:space="preserve">Children needs to develop themselves amidst the exposure to the culture and environtment that potentially harm their ways of thinking and therefore, ways of doing, which can be suitable translated into character. To anticipate this, K-13 ir urgently needed for their proper implementation.. In order to do this, teachers who are competent with sound understanding of the curriculum are crucial in the implementation and thus, they should be enlightened more on the curriculum with special emphasis on those who are starting as they have longer time of service that is left. </w:t>
      </w:r>
    </w:p>
    <w:p w:rsidR="008A55B5" w:rsidRPr="00873CFF" w:rsidRDefault="008A55B5" w:rsidP="004901BB">
      <w:pPr>
        <w:pStyle w:val="Heading5"/>
        <w:ind w:firstLine="426"/>
        <w:rPr>
          <w:rFonts w:eastAsia="MS Mincho"/>
        </w:rPr>
      </w:pPr>
      <w:r w:rsidRPr="00FA7429">
        <w:rPr>
          <w:rFonts w:ascii="Times New Roman" w:eastAsia="MS Mincho" w:hAnsi="Times New Roman"/>
        </w:rPr>
        <w:t>Acknowledgment</w:t>
      </w:r>
      <w:r w:rsidRPr="00873CFF">
        <w:rPr>
          <w:rFonts w:eastAsia="MS Mincho"/>
        </w:rPr>
        <w:t xml:space="preserve"> </w:t>
      </w:r>
    </w:p>
    <w:p w:rsidR="008A55B5" w:rsidRPr="00873CFF" w:rsidRDefault="00445774" w:rsidP="004901BB">
      <w:pPr>
        <w:pStyle w:val="BodyText"/>
        <w:ind w:firstLine="426"/>
      </w:pPr>
      <w:r w:rsidRPr="00873CFF">
        <w:t>This research would have not been possible without the grant from the Ministry of Research, Technology, and Higher Education under Professorial Research Scheme. For that the author</w:t>
      </w:r>
      <w:r w:rsidR="000E08FD" w:rsidRPr="00873CFF">
        <w:t>s feel indebted and are sincerely grateful</w:t>
      </w:r>
      <w:r w:rsidR="008A55B5" w:rsidRPr="00873CFF">
        <w:t>.</w:t>
      </w:r>
      <w:r w:rsidR="000E08FD" w:rsidRPr="00873CFF">
        <w:t xml:space="preserve"> To all teachers and students participating in this study, the authors would also like to appreciate their time and energy. To the principals of the six schools under study, we would like to thank them for the help and facilitation that they provided.</w:t>
      </w:r>
    </w:p>
    <w:p w:rsidR="008A55B5" w:rsidRPr="00873CFF" w:rsidRDefault="008A55B5" w:rsidP="004901BB">
      <w:pPr>
        <w:pStyle w:val="Heading5"/>
        <w:ind w:firstLine="426"/>
        <w:rPr>
          <w:rFonts w:eastAsia="MS Mincho"/>
        </w:rPr>
      </w:pPr>
      <w:r w:rsidRPr="00FA7429">
        <w:rPr>
          <w:rFonts w:ascii="Times New Roman" w:eastAsia="MS Mincho" w:hAnsi="Times New Roman"/>
        </w:rPr>
        <w:t>References</w:t>
      </w:r>
    </w:p>
    <w:p w:rsidR="00FA7429" w:rsidRDefault="00FA7429" w:rsidP="00FA7429">
      <w:pPr>
        <w:jc w:val="left"/>
        <w:rPr>
          <w:bCs/>
          <w:kern w:val="36"/>
          <w:szCs w:val="48"/>
        </w:rPr>
      </w:pPr>
      <w:r w:rsidRPr="00C30CCD">
        <w:t xml:space="preserve">[1] Kari Kantasalmi and Gunilla Holm </w:t>
      </w:r>
      <w:r w:rsidRPr="00C30CCD">
        <w:rPr>
          <w:bCs/>
          <w:kern w:val="36"/>
          <w:szCs w:val="48"/>
        </w:rPr>
        <w:t xml:space="preserve">“The State, Schooling and Identity: Diversifying Education in Europe”, Springer, 2016. </w:t>
      </w:r>
    </w:p>
    <w:p w:rsidR="00FA7429" w:rsidRPr="00C30CCD" w:rsidRDefault="00FA7429" w:rsidP="00FA7429">
      <w:pPr>
        <w:jc w:val="left"/>
        <w:rPr>
          <w:bCs/>
          <w:kern w:val="36"/>
          <w:szCs w:val="48"/>
        </w:rPr>
      </w:pPr>
    </w:p>
    <w:p w:rsidR="00FA7429" w:rsidRPr="00C30CCD" w:rsidRDefault="00FA7429" w:rsidP="00FA7429">
      <w:pPr>
        <w:autoSpaceDE w:val="0"/>
        <w:autoSpaceDN w:val="0"/>
        <w:adjustRightInd w:val="0"/>
        <w:jc w:val="left"/>
        <w:rPr>
          <w:rFonts w:eastAsiaTheme="minorHAnsi" w:cs="Calibri"/>
          <w:szCs w:val="22"/>
        </w:rPr>
      </w:pPr>
      <w:r>
        <w:rPr>
          <w:rFonts w:cs="Calibri"/>
        </w:rPr>
        <w:t xml:space="preserve">[2] </w:t>
      </w:r>
      <w:r w:rsidRPr="00C30CCD">
        <w:rPr>
          <w:rFonts w:cs="Calibri"/>
        </w:rPr>
        <w:t>Rennie, L. Values of science portrayed in out</w:t>
      </w:r>
      <w:r w:rsidRPr="00C30CCD">
        <w:rPr>
          <w:rFonts w:ascii="Calibri" w:hAnsi="Calibri" w:cs="Calibri"/>
        </w:rPr>
        <w:t>‐</w:t>
      </w:r>
      <w:r w:rsidRPr="00C30CCD">
        <w:rPr>
          <w:rFonts w:cs="Calibri"/>
        </w:rPr>
        <w:t>of</w:t>
      </w:r>
      <w:r w:rsidRPr="00C30CCD">
        <w:rPr>
          <w:rFonts w:ascii="Calibri" w:hAnsi="Calibri" w:cs="Calibri"/>
        </w:rPr>
        <w:t>‐</w:t>
      </w:r>
      <w:r w:rsidRPr="00C30CCD">
        <w:rPr>
          <w:rFonts w:cs="Calibri"/>
        </w:rPr>
        <w:t>school contexts. In D. Corrigan, J. Dillon &amp; R. Gunstone (Eds.), “</w:t>
      </w:r>
      <w:r w:rsidRPr="00C30CCD">
        <w:rPr>
          <w:rFonts w:cs="Calibri-Italic"/>
          <w:iCs/>
        </w:rPr>
        <w:t>The re</w:t>
      </w:r>
      <w:r w:rsidRPr="00C30CCD">
        <w:rPr>
          <w:rFonts w:ascii="Cambria Math" w:hAnsi="Cambria Math" w:cs="Cambria Math"/>
          <w:iCs/>
        </w:rPr>
        <w:t>‐</w:t>
      </w:r>
      <w:r w:rsidRPr="00C30CCD">
        <w:rPr>
          <w:rFonts w:cs="Calibri-Italic"/>
          <w:iCs/>
        </w:rPr>
        <w:t>emergence of values in science education”</w:t>
      </w:r>
      <w:r w:rsidRPr="00C30CCD">
        <w:rPr>
          <w:rFonts w:cs="Calibri-Italic"/>
          <w:i/>
          <w:iCs/>
        </w:rPr>
        <w:t xml:space="preserve"> </w:t>
      </w:r>
      <w:r w:rsidRPr="00C30CCD">
        <w:rPr>
          <w:rFonts w:cs="Calibri"/>
        </w:rPr>
        <w:t>(pp. 197</w:t>
      </w:r>
      <w:r w:rsidRPr="00C30CCD">
        <w:rPr>
          <w:rFonts w:ascii="Calibri" w:hAnsi="Calibri" w:cs="Calibri"/>
        </w:rPr>
        <w:t>‐</w:t>
      </w:r>
      <w:r w:rsidRPr="00C30CCD">
        <w:rPr>
          <w:rFonts w:cs="Calibri"/>
        </w:rPr>
        <w:t>212). Rotterdam, The Netherlands: Sense Publishers.</w:t>
      </w:r>
    </w:p>
    <w:p w:rsidR="00FA7429" w:rsidRDefault="00FA7429" w:rsidP="00FA7429">
      <w:pPr>
        <w:autoSpaceDE w:val="0"/>
        <w:autoSpaceDN w:val="0"/>
        <w:adjustRightInd w:val="0"/>
        <w:jc w:val="left"/>
        <w:rPr>
          <w:rFonts w:cs="Calibri"/>
        </w:rPr>
      </w:pPr>
    </w:p>
    <w:p w:rsidR="00FA7429" w:rsidRDefault="00FA7429" w:rsidP="00FA7429">
      <w:pPr>
        <w:autoSpaceDE w:val="0"/>
        <w:autoSpaceDN w:val="0"/>
        <w:adjustRightInd w:val="0"/>
        <w:jc w:val="left"/>
        <w:rPr>
          <w:rFonts w:cs="Calibri"/>
        </w:rPr>
      </w:pPr>
      <w:r>
        <w:rPr>
          <w:rFonts w:cs="Calibri"/>
        </w:rPr>
        <w:lastRenderedPageBreak/>
        <w:t xml:space="preserve">[3] </w:t>
      </w:r>
      <w:r w:rsidRPr="00C30CCD">
        <w:rPr>
          <w:rFonts w:cs="Calibri"/>
        </w:rPr>
        <w:t>Churchill, L. R. The teaching of ethics and moral values in teaching: Some contemporary confusions. “</w:t>
      </w:r>
      <w:r w:rsidRPr="00C30CCD">
        <w:rPr>
          <w:rFonts w:cs="Calibri-Italic"/>
          <w:iCs/>
        </w:rPr>
        <w:t>The Journal of Higher Education”, 53</w:t>
      </w:r>
      <w:r w:rsidRPr="00C30CCD">
        <w:rPr>
          <w:rFonts w:cs="Calibri"/>
        </w:rPr>
        <w:t>(3), 296</w:t>
      </w:r>
      <w:r w:rsidRPr="00C30CCD">
        <w:rPr>
          <w:rFonts w:ascii="Calibri" w:hAnsi="Calibri" w:cs="Calibri"/>
        </w:rPr>
        <w:t>‐</w:t>
      </w:r>
      <w:r w:rsidRPr="00C30CCD">
        <w:rPr>
          <w:rFonts w:cs="Calibri"/>
        </w:rPr>
        <w:t>306, 1982. doi: 10.2307/1981749</w:t>
      </w:r>
    </w:p>
    <w:p w:rsidR="00FA7429" w:rsidRDefault="00FA7429" w:rsidP="00FA7429">
      <w:pPr>
        <w:autoSpaceDE w:val="0"/>
        <w:autoSpaceDN w:val="0"/>
        <w:adjustRightInd w:val="0"/>
        <w:jc w:val="left"/>
        <w:rPr>
          <w:rFonts w:cs="Calibri"/>
        </w:rPr>
      </w:pPr>
    </w:p>
    <w:p w:rsidR="00FA7429" w:rsidRDefault="00FA7429" w:rsidP="00FA7429">
      <w:pPr>
        <w:autoSpaceDE w:val="0"/>
        <w:autoSpaceDN w:val="0"/>
        <w:adjustRightInd w:val="0"/>
        <w:jc w:val="left"/>
        <w:rPr>
          <w:rFonts w:cs="Calibri"/>
        </w:rPr>
      </w:pPr>
      <w:r>
        <w:rPr>
          <w:rFonts w:cs="Calibri"/>
        </w:rPr>
        <w:t>[4]</w:t>
      </w:r>
      <w:r w:rsidRPr="00150B62">
        <w:t xml:space="preserve"> </w:t>
      </w:r>
      <w:hyperlink r:id="rId12" w:history="1">
        <w:r w:rsidRPr="00AC6CD9">
          <w:rPr>
            <w:rStyle w:val="Hyperlink"/>
            <w:rFonts w:eastAsia="MS Mincho" w:cs="Calibri"/>
          </w:rPr>
          <w:t>https://www.gov.uk/government/speeches/education-secretary-sets-out-five-foundations-to-build-character</w:t>
        </w:r>
      </w:hyperlink>
      <w:r>
        <w:rPr>
          <w:rFonts w:cs="Calibri"/>
        </w:rPr>
        <w:t xml:space="preserve"> </w:t>
      </w:r>
    </w:p>
    <w:p w:rsidR="00FA7429" w:rsidRDefault="00FA7429" w:rsidP="00FA7429">
      <w:pPr>
        <w:pStyle w:val="Default"/>
        <w:rPr>
          <w:rFonts w:ascii="Times New Roman" w:hAnsi="Times New Roman"/>
          <w:sz w:val="20"/>
        </w:rPr>
      </w:pPr>
    </w:p>
    <w:p w:rsidR="00FA7429" w:rsidRDefault="00FA7429" w:rsidP="00FA7429">
      <w:pPr>
        <w:pStyle w:val="Default"/>
        <w:rPr>
          <w:rStyle w:val="A3"/>
          <w:rFonts w:ascii="Times New Roman" w:hAnsi="Times New Roman"/>
          <w:b w:val="0"/>
          <w:sz w:val="20"/>
        </w:rPr>
      </w:pPr>
      <w:r>
        <w:rPr>
          <w:rFonts w:ascii="Times New Roman" w:hAnsi="Times New Roman"/>
          <w:sz w:val="20"/>
        </w:rPr>
        <w:t xml:space="preserve">[5] </w:t>
      </w:r>
      <w:r w:rsidRPr="00FC2588">
        <w:rPr>
          <w:rFonts w:ascii="Times New Roman" w:hAnsi="Times New Roman"/>
          <w:sz w:val="20"/>
        </w:rPr>
        <w:t>Iwan Jazadi</w:t>
      </w:r>
      <w:r w:rsidRPr="00FC2588">
        <w:rPr>
          <w:rFonts w:ascii="Times New Roman" w:hAnsi="Times New Roman"/>
          <w:b/>
          <w:sz w:val="20"/>
        </w:rPr>
        <w:t xml:space="preserve">, </w:t>
      </w:r>
      <w:r w:rsidRPr="00FC2588">
        <w:rPr>
          <w:rStyle w:val="A3"/>
          <w:rFonts w:ascii="Times New Roman" w:hAnsi="Times New Roman"/>
          <w:b w:val="0"/>
          <w:sz w:val="20"/>
        </w:rPr>
        <w:t>Character-Based Curriculum and Textbook Development in Indonesia: A Critical Review. “Sosio Humanika: Jurnal Pendidikan Sains Sosial dan Kemanusiaan</w:t>
      </w:r>
      <w:r>
        <w:rPr>
          <w:rStyle w:val="A3"/>
          <w:rFonts w:ascii="Times New Roman" w:hAnsi="Times New Roman"/>
          <w:b w:val="0"/>
          <w:sz w:val="20"/>
        </w:rPr>
        <w:t>”</w:t>
      </w:r>
      <w:r w:rsidRPr="00FC2588">
        <w:rPr>
          <w:rStyle w:val="A3"/>
          <w:rFonts w:ascii="Times New Roman" w:hAnsi="Times New Roman"/>
          <w:b w:val="0"/>
          <w:sz w:val="20"/>
        </w:rPr>
        <w:t>,</w:t>
      </w:r>
      <w:r>
        <w:rPr>
          <w:rStyle w:val="A3"/>
          <w:rFonts w:ascii="Times New Roman" w:hAnsi="Times New Roman"/>
          <w:b w:val="0"/>
          <w:sz w:val="20"/>
        </w:rPr>
        <w:t xml:space="preserve"> Vol 8 (2), pp. 313-330,</w:t>
      </w:r>
      <w:r w:rsidRPr="00FC2588">
        <w:rPr>
          <w:rStyle w:val="A3"/>
          <w:rFonts w:ascii="Times New Roman" w:hAnsi="Times New Roman"/>
          <w:b w:val="0"/>
          <w:sz w:val="20"/>
        </w:rPr>
        <w:t xml:space="preserve"> 2015</w:t>
      </w:r>
      <w:r>
        <w:rPr>
          <w:rStyle w:val="A3"/>
          <w:rFonts w:ascii="Times New Roman" w:hAnsi="Times New Roman"/>
          <w:b w:val="0"/>
          <w:sz w:val="20"/>
        </w:rPr>
        <w:t>.</w:t>
      </w:r>
    </w:p>
    <w:p w:rsidR="00FA7429" w:rsidRDefault="00FA7429" w:rsidP="00FA7429">
      <w:pPr>
        <w:pStyle w:val="Default"/>
        <w:rPr>
          <w:rStyle w:val="A3"/>
          <w:rFonts w:ascii="Times New Roman" w:hAnsi="Times New Roman"/>
          <w:b w:val="0"/>
          <w:sz w:val="20"/>
        </w:rPr>
      </w:pPr>
    </w:p>
    <w:p w:rsidR="00FA7429" w:rsidRDefault="00FA7429" w:rsidP="00FA7429">
      <w:pPr>
        <w:pStyle w:val="Default"/>
        <w:rPr>
          <w:rStyle w:val="A3"/>
          <w:rFonts w:ascii="Times New Roman" w:hAnsi="Times New Roman"/>
          <w:b w:val="0"/>
          <w:sz w:val="20"/>
        </w:rPr>
      </w:pPr>
      <w:r>
        <w:rPr>
          <w:rStyle w:val="A3"/>
          <w:rFonts w:ascii="Times New Roman" w:hAnsi="Times New Roman"/>
          <w:b w:val="0"/>
          <w:sz w:val="20"/>
        </w:rPr>
        <w:t xml:space="preserve">[6] H. </w:t>
      </w:r>
      <w:r>
        <w:rPr>
          <w:rStyle w:val="A8"/>
        </w:rPr>
        <w:t xml:space="preserve">Taba. </w:t>
      </w:r>
      <w:r>
        <w:rPr>
          <w:rStyle w:val="A8"/>
          <w:i/>
          <w:iCs/>
        </w:rPr>
        <w:t>Curriculum Development: Theory and Practice</w:t>
      </w:r>
      <w:r>
        <w:rPr>
          <w:rStyle w:val="A8"/>
        </w:rPr>
        <w:t>. New York, NY: Harcourt, Brace &amp; World, 1962.</w:t>
      </w:r>
    </w:p>
    <w:p w:rsidR="00FA7429" w:rsidRDefault="00FA7429" w:rsidP="00FA7429">
      <w:pPr>
        <w:pStyle w:val="Default"/>
        <w:rPr>
          <w:rStyle w:val="A3"/>
          <w:rFonts w:ascii="Times New Roman" w:hAnsi="Times New Roman"/>
          <w:b w:val="0"/>
          <w:sz w:val="20"/>
        </w:rPr>
      </w:pPr>
    </w:p>
    <w:p w:rsidR="00FA7429" w:rsidRDefault="00FA7429" w:rsidP="00FA7429">
      <w:pPr>
        <w:pStyle w:val="Default"/>
        <w:rPr>
          <w:rStyle w:val="A8"/>
        </w:rPr>
      </w:pPr>
      <w:r>
        <w:rPr>
          <w:rStyle w:val="A3"/>
          <w:rFonts w:ascii="Times New Roman" w:hAnsi="Times New Roman"/>
          <w:b w:val="0"/>
          <w:sz w:val="20"/>
        </w:rPr>
        <w:t xml:space="preserve">[7] B. </w:t>
      </w:r>
      <w:r>
        <w:rPr>
          <w:rStyle w:val="A8"/>
        </w:rPr>
        <w:t xml:space="preserve">Sumintono. Isu Pengembangan Kurikulum Baru. “Issues on New Curriculum Development”. </w:t>
      </w:r>
      <w:r>
        <w:rPr>
          <w:rStyle w:val="A8"/>
          <w:i/>
          <w:iCs/>
        </w:rPr>
        <w:t xml:space="preserve">A paper </w:t>
      </w:r>
      <w:r>
        <w:rPr>
          <w:rStyle w:val="A8"/>
        </w:rPr>
        <w:t>presented at Focus Group Discussion – Indonesian Students Association (PPI) at UTM (Malaysia University of Technology), Johor Bahru, Malaysia, on April 27. 2013.</w:t>
      </w:r>
    </w:p>
    <w:p w:rsidR="00FA7429" w:rsidRDefault="00FA7429" w:rsidP="00FA7429">
      <w:pPr>
        <w:pStyle w:val="Default"/>
        <w:rPr>
          <w:rStyle w:val="A8"/>
        </w:rPr>
      </w:pPr>
    </w:p>
    <w:p w:rsidR="00FA7429" w:rsidRDefault="00FA7429" w:rsidP="00FA7429">
      <w:pPr>
        <w:pStyle w:val="Default"/>
        <w:rPr>
          <w:rStyle w:val="A8"/>
        </w:rPr>
      </w:pPr>
      <w:r>
        <w:rPr>
          <w:rStyle w:val="A8"/>
        </w:rPr>
        <w:t>[8]</w:t>
      </w:r>
      <w:r w:rsidRPr="00787B78">
        <w:rPr>
          <w:rStyle w:val="subtitle"/>
        </w:rPr>
        <w:t xml:space="preserve"> </w:t>
      </w:r>
      <w:r>
        <w:rPr>
          <w:rStyle w:val="A8"/>
        </w:rPr>
        <w:t>Depdiknas RI [Departemen Pendidikan Nasional Republik Indonesia]. “</w:t>
      </w:r>
      <w:r w:rsidRPr="00F52B53">
        <w:rPr>
          <w:rStyle w:val="A8"/>
          <w:iCs/>
        </w:rPr>
        <w:t>Undang-Undang Nomor 20 Tahun 2003 tentang Sistem Pendidikan Nasional [Act Number 20 Year 2003 on National Education System]</w:t>
      </w:r>
      <w:r>
        <w:rPr>
          <w:rStyle w:val="A8"/>
          <w:iCs/>
        </w:rPr>
        <w:t>”</w:t>
      </w:r>
      <w:r w:rsidRPr="00F52B53">
        <w:rPr>
          <w:rStyle w:val="A8"/>
          <w:iCs/>
        </w:rPr>
        <w:t>.</w:t>
      </w:r>
      <w:r>
        <w:rPr>
          <w:rStyle w:val="A8"/>
          <w:i/>
          <w:iCs/>
        </w:rPr>
        <w:t xml:space="preserve"> </w:t>
      </w:r>
      <w:r>
        <w:rPr>
          <w:rStyle w:val="A8"/>
        </w:rPr>
        <w:t>Jakarta: Depdiknas RI, 2003.</w:t>
      </w:r>
    </w:p>
    <w:p w:rsidR="00FA7429" w:rsidRDefault="00FA7429" w:rsidP="00FA7429">
      <w:pPr>
        <w:pStyle w:val="Default"/>
        <w:rPr>
          <w:rStyle w:val="A8"/>
        </w:rPr>
      </w:pPr>
    </w:p>
    <w:p w:rsidR="00FA7429" w:rsidRDefault="00FA7429" w:rsidP="00FA7429">
      <w:pPr>
        <w:pStyle w:val="Default"/>
        <w:rPr>
          <w:iCs/>
          <w:sz w:val="18"/>
          <w:szCs w:val="18"/>
        </w:rPr>
      </w:pPr>
      <w:r>
        <w:rPr>
          <w:rStyle w:val="A8"/>
        </w:rPr>
        <w:t xml:space="preserve">[9] </w:t>
      </w:r>
      <w:r w:rsidRPr="00F52B53">
        <w:rPr>
          <w:rFonts w:eastAsiaTheme="minorHAnsi"/>
          <w:sz w:val="18"/>
          <w:szCs w:val="18"/>
        </w:rPr>
        <w:t>Pusat Kurikulum Badan Penelitian dan Pengembangan Kement</w:t>
      </w:r>
      <w:r>
        <w:rPr>
          <w:sz w:val="18"/>
          <w:szCs w:val="18"/>
        </w:rPr>
        <w:t>erian Pendidikan Nasional</w:t>
      </w:r>
      <w:r w:rsidRPr="00F52B53">
        <w:rPr>
          <w:rFonts w:eastAsiaTheme="minorHAnsi"/>
          <w:sz w:val="18"/>
          <w:szCs w:val="18"/>
        </w:rPr>
        <w:t xml:space="preserve">, </w:t>
      </w:r>
      <w:r>
        <w:rPr>
          <w:sz w:val="18"/>
          <w:szCs w:val="18"/>
        </w:rPr>
        <w:t>“</w:t>
      </w:r>
      <w:r w:rsidRPr="00F52B53">
        <w:rPr>
          <w:rFonts w:eastAsiaTheme="minorHAnsi"/>
          <w:iCs/>
          <w:sz w:val="18"/>
          <w:szCs w:val="18"/>
        </w:rPr>
        <w:t>Pedoman Pelaksanaan Pendidikan Karakter</w:t>
      </w:r>
      <w:r>
        <w:rPr>
          <w:iCs/>
          <w:sz w:val="18"/>
          <w:szCs w:val="18"/>
        </w:rPr>
        <w:t>”</w:t>
      </w:r>
      <w:r w:rsidRPr="00F52B53">
        <w:rPr>
          <w:iCs/>
          <w:sz w:val="18"/>
          <w:szCs w:val="18"/>
        </w:rPr>
        <w:t>,</w:t>
      </w:r>
      <w:r w:rsidRPr="00F52B53">
        <w:rPr>
          <w:rFonts w:eastAsiaTheme="minorHAnsi"/>
          <w:iCs/>
          <w:sz w:val="18"/>
          <w:szCs w:val="18"/>
        </w:rPr>
        <w:t xml:space="preserve"> </w:t>
      </w:r>
      <w:r w:rsidRPr="00F52B53">
        <w:rPr>
          <w:iCs/>
          <w:sz w:val="18"/>
          <w:szCs w:val="18"/>
        </w:rPr>
        <w:t>2011</w:t>
      </w:r>
      <w:r>
        <w:rPr>
          <w:iCs/>
          <w:sz w:val="18"/>
          <w:szCs w:val="18"/>
        </w:rPr>
        <w:t>.</w:t>
      </w:r>
    </w:p>
    <w:p w:rsidR="00FA7429" w:rsidRDefault="00FA7429" w:rsidP="00FA7429">
      <w:pPr>
        <w:pStyle w:val="Default"/>
        <w:rPr>
          <w:sz w:val="18"/>
          <w:szCs w:val="18"/>
        </w:rPr>
      </w:pPr>
    </w:p>
    <w:p w:rsidR="00FA7429" w:rsidRDefault="00FA7429" w:rsidP="00FA7429">
      <w:pPr>
        <w:pStyle w:val="Default"/>
        <w:rPr>
          <w:sz w:val="18"/>
          <w:szCs w:val="18"/>
        </w:rPr>
      </w:pPr>
      <w:r>
        <w:rPr>
          <w:sz w:val="18"/>
          <w:szCs w:val="18"/>
        </w:rPr>
        <w:t>[10] Kemendikbud, Peraturan Menteri  Pendidikan dan Kebudayaan No 20 tahun 2016, “Standar Kompetensi Lulusan [Graduate Competency Standards]”, 2016.</w:t>
      </w:r>
    </w:p>
    <w:p w:rsidR="00FA7429" w:rsidRDefault="00FA7429" w:rsidP="00FA7429">
      <w:pPr>
        <w:pStyle w:val="Default"/>
        <w:rPr>
          <w:sz w:val="19"/>
          <w:szCs w:val="19"/>
        </w:rPr>
      </w:pPr>
    </w:p>
    <w:p w:rsidR="00FA7429" w:rsidRDefault="00FA7429" w:rsidP="00FA7429">
      <w:pPr>
        <w:pStyle w:val="Default"/>
        <w:rPr>
          <w:sz w:val="19"/>
          <w:szCs w:val="19"/>
        </w:rPr>
      </w:pPr>
      <w:r>
        <w:rPr>
          <w:sz w:val="19"/>
          <w:szCs w:val="19"/>
        </w:rPr>
        <w:t>[11] Zubaidi. “Desain Pendidikan Karakter”.Jakarta: Prenada Media Group, 2011.</w:t>
      </w:r>
    </w:p>
    <w:p w:rsidR="00FA7429" w:rsidRDefault="00FA7429" w:rsidP="00FA7429">
      <w:pPr>
        <w:autoSpaceDE w:val="0"/>
        <w:autoSpaceDN w:val="0"/>
        <w:adjustRightInd w:val="0"/>
        <w:jc w:val="left"/>
        <w:rPr>
          <w:rFonts w:cs="ArnoPro"/>
          <w:color w:val="000000"/>
          <w:szCs w:val="18"/>
        </w:rPr>
      </w:pPr>
    </w:p>
    <w:p w:rsidR="00FA7429" w:rsidRDefault="00FA7429" w:rsidP="00FA7429">
      <w:pPr>
        <w:autoSpaceDE w:val="0"/>
        <w:autoSpaceDN w:val="0"/>
        <w:adjustRightInd w:val="0"/>
        <w:jc w:val="left"/>
        <w:rPr>
          <w:rFonts w:cs="ArnoPro"/>
          <w:color w:val="316192"/>
          <w:szCs w:val="18"/>
        </w:rPr>
      </w:pPr>
      <w:r>
        <w:rPr>
          <w:rFonts w:cs="ArnoPro"/>
          <w:color w:val="000000"/>
          <w:szCs w:val="18"/>
        </w:rPr>
        <w:t>[12]</w:t>
      </w:r>
      <w:r w:rsidRPr="00E3771C">
        <w:rPr>
          <w:rFonts w:cs="ArnoPro"/>
          <w:color w:val="000000"/>
          <w:szCs w:val="18"/>
        </w:rPr>
        <w:t>Diane M.</w:t>
      </w:r>
      <w:r>
        <w:rPr>
          <w:rFonts w:cs="ArnoPro"/>
          <w:color w:val="000000"/>
          <w:szCs w:val="18"/>
        </w:rPr>
        <w:t xml:space="preserve"> </w:t>
      </w:r>
      <w:r w:rsidRPr="00E3771C">
        <w:rPr>
          <w:rFonts w:cs="ArnoPro"/>
          <w:color w:val="000000"/>
          <w:szCs w:val="18"/>
        </w:rPr>
        <w:t>Dodds,</w:t>
      </w:r>
      <w:r>
        <w:rPr>
          <w:rFonts w:cs="ArnoPro"/>
          <w:color w:val="000000"/>
          <w:szCs w:val="18"/>
        </w:rPr>
        <w:t>.</w:t>
      </w:r>
      <w:r w:rsidRPr="00E3771C">
        <w:rPr>
          <w:rFonts w:cs="ArnoPro"/>
          <w:color w:val="000000"/>
          <w:szCs w:val="18"/>
        </w:rPr>
        <w:t xml:space="preserve"> The Effects of Character Education on Social-Emotional Behavior. </w:t>
      </w:r>
      <w:r>
        <w:rPr>
          <w:rFonts w:cs="ArnoPro"/>
          <w:color w:val="000000"/>
          <w:szCs w:val="18"/>
        </w:rPr>
        <w:t xml:space="preserve">2016. </w:t>
      </w:r>
      <w:r w:rsidRPr="00E3771C">
        <w:rPr>
          <w:rFonts w:cs="ArnoPro"/>
          <w:color w:val="000000"/>
          <w:szCs w:val="18"/>
        </w:rPr>
        <w:t>Retrieved from Sophia, the St. Catherine</w:t>
      </w:r>
      <w:r>
        <w:rPr>
          <w:rFonts w:cs="ArnoPro"/>
          <w:color w:val="000000"/>
          <w:szCs w:val="18"/>
        </w:rPr>
        <w:t xml:space="preserve"> </w:t>
      </w:r>
      <w:r w:rsidRPr="00E3771C">
        <w:rPr>
          <w:rFonts w:cs="ArnoPro"/>
          <w:color w:val="000000"/>
          <w:szCs w:val="18"/>
        </w:rPr>
        <w:t xml:space="preserve">University repository website: </w:t>
      </w:r>
      <w:hyperlink r:id="rId13" w:history="1">
        <w:r w:rsidRPr="00AC6CD9">
          <w:rPr>
            <w:rStyle w:val="Hyperlink"/>
            <w:rFonts w:eastAsia="MS Mincho" w:cs="ArnoPro"/>
            <w:szCs w:val="18"/>
          </w:rPr>
          <w:t>https://sophia.stkate.edu/maed/137</w:t>
        </w:r>
      </w:hyperlink>
    </w:p>
    <w:p w:rsidR="00FA7429" w:rsidRDefault="00FA7429" w:rsidP="00FA7429">
      <w:pPr>
        <w:autoSpaceDE w:val="0"/>
        <w:autoSpaceDN w:val="0"/>
        <w:adjustRightInd w:val="0"/>
        <w:jc w:val="left"/>
        <w:rPr>
          <w:rFonts w:cs="BookmanOldStyle-Italic"/>
          <w:iCs/>
          <w:szCs w:val="76"/>
        </w:rPr>
      </w:pPr>
    </w:p>
    <w:p w:rsidR="00FA7429" w:rsidRDefault="00FA7429" w:rsidP="00FA7429">
      <w:pPr>
        <w:autoSpaceDE w:val="0"/>
        <w:autoSpaceDN w:val="0"/>
        <w:adjustRightInd w:val="0"/>
        <w:jc w:val="left"/>
        <w:rPr>
          <w:rFonts w:cs="BookmanOldStyle-Italic"/>
          <w:iCs/>
          <w:szCs w:val="44"/>
        </w:rPr>
      </w:pPr>
      <w:r>
        <w:rPr>
          <w:rFonts w:cs="BookmanOldStyle-Italic"/>
          <w:iCs/>
          <w:szCs w:val="76"/>
        </w:rPr>
        <w:t>[13] J. Cresswell. “</w:t>
      </w:r>
      <w:r w:rsidRPr="00E45F2B">
        <w:rPr>
          <w:rFonts w:cs="BookmanOldStyle-Italic"/>
          <w:iCs/>
          <w:szCs w:val="76"/>
        </w:rPr>
        <w:t>RESEARCH DESIGN</w:t>
      </w:r>
      <w:r>
        <w:rPr>
          <w:rFonts w:cs="BookmanOldStyle-Italic"/>
          <w:iCs/>
          <w:szCs w:val="76"/>
        </w:rPr>
        <w:t xml:space="preserve">: </w:t>
      </w:r>
      <w:r w:rsidRPr="00E45F2B">
        <w:rPr>
          <w:rFonts w:cs="BookmanOldStyle-Italic"/>
          <w:iCs/>
          <w:szCs w:val="44"/>
        </w:rPr>
        <w:t>Qualitative, Quantitative, and mixed</w:t>
      </w:r>
      <w:r>
        <w:rPr>
          <w:rFonts w:cs="BookmanOldStyle-Italic"/>
          <w:iCs/>
          <w:szCs w:val="44"/>
        </w:rPr>
        <w:t xml:space="preserve"> </w:t>
      </w:r>
      <w:r w:rsidRPr="00E45F2B">
        <w:rPr>
          <w:rFonts w:cs="BookmanOldStyle-Italic"/>
          <w:iCs/>
          <w:szCs w:val="44"/>
        </w:rPr>
        <w:t>methods approaches</w:t>
      </w:r>
      <w:r>
        <w:rPr>
          <w:rFonts w:cs="BookmanOldStyle-Italic"/>
          <w:iCs/>
          <w:szCs w:val="44"/>
        </w:rPr>
        <w:t>”. 4</w:t>
      </w:r>
      <w:r w:rsidRPr="00E45F2B">
        <w:rPr>
          <w:rFonts w:cs="BookmanOldStyle-Italic"/>
          <w:iCs/>
          <w:szCs w:val="44"/>
          <w:vertAlign w:val="superscript"/>
        </w:rPr>
        <w:t>nd</w:t>
      </w:r>
      <w:r>
        <w:rPr>
          <w:rFonts w:cs="BookmanOldStyle-Italic"/>
          <w:iCs/>
          <w:szCs w:val="44"/>
        </w:rPr>
        <w:t xml:space="preserve"> Edition. 2014.</w:t>
      </w:r>
    </w:p>
    <w:p w:rsidR="00FA7429" w:rsidRDefault="00FA7429" w:rsidP="00FA7429">
      <w:pPr>
        <w:autoSpaceDE w:val="0"/>
        <w:autoSpaceDN w:val="0"/>
        <w:adjustRightInd w:val="0"/>
        <w:jc w:val="left"/>
        <w:rPr>
          <w:rFonts w:cs="BookmanOldStyle-Italic"/>
          <w:iCs/>
          <w:szCs w:val="44"/>
        </w:rPr>
      </w:pPr>
    </w:p>
    <w:p w:rsidR="00FA7429" w:rsidRDefault="00FA7429" w:rsidP="00FA7429">
      <w:pPr>
        <w:autoSpaceDE w:val="0"/>
        <w:autoSpaceDN w:val="0"/>
        <w:adjustRightInd w:val="0"/>
        <w:jc w:val="left"/>
        <w:rPr>
          <w:rFonts w:cs="BookmanOldStyle-Italic"/>
          <w:iCs/>
          <w:szCs w:val="44"/>
        </w:rPr>
      </w:pPr>
      <w:r>
        <w:rPr>
          <w:rFonts w:cs="BookmanOldStyle-Italic"/>
          <w:iCs/>
          <w:szCs w:val="44"/>
        </w:rPr>
        <w:t>[14]</w:t>
      </w:r>
      <w:r w:rsidRPr="00030D66">
        <w:rPr>
          <w:rFonts w:eastAsia="TimesNewRomanPSMT" w:cs="TimesNewRomanPSMT"/>
          <w:szCs w:val="30"/>
        </w:rPr>
        <w:t xml:space="preserve"> E. </w:t>
      </w:r>
      <w:r>
        <w:rPr>
          <w:rFonts w:eastAsia="TimesNewRomanPSMT" w:cs="TimesNewRomanPSMT"/>
          <w:szCs w:val="30"/>
        </w:rPr>
        <w:t>Babbie</w:t>
      </w:r>
      <w:r w:rsidRPr="00030D66">
        <w:rPr>
          <w:rFonts w:eastAsia="TimesNewRomanPSMT" w:cs="TimesNewRomanPSMT"/>
          <w:szCs w:val="30"/>
        </w:rPr>
        <w:t xml:space="preserve">. </w:t>
      </w:r>
      <w:r>
        <w:rPr>
          <w:rFonts w:eastAsia="TimesNewRomanPSMT" w:cs="TimesNewRomanPSMT"/>
          <w:szCs w:val="30"/>
        </w:rPr>
        <w:t>“</w:t>
      </w:r>
      <w:r w:rsidRPr="00030D66">
        <w:rPr>
          <w:rFonts w:eastAsia="TimesNewRomanPSMT" w:cs="TimesNewRomanPS-ItalicMT"/>
          <w:iCs/>
          <w:szCs w:val="30"/>
        </w:rPr>
        <w:t>The practice of social research</w:t>
      </w:r>
      <w:r>
        <w:rPr>
          <w:rFonts w:eastAsia="TimesNewRomanPSMT" w:cs="TimesNewRomanPS-ItalicMT"/>
          <w:iCs/>
          <w:szCs w:val="30"/>
        </w:rPr>
        <w:t>”</w:t>
      </w:r>
      <w:r w:rsidRPr="00030D66">
        <w:rPr>
          <w:rFonts w:eastAsia="TimesNewRomanPSMT" w:cs="TimesNewRomanPS-ItalicMT"/>
          <w:iCs/>
          <w:szCs w:val="30"/>
        </w:rPr>
        <w:t xml:space="preserve"> </w:t>
      </w:r>
      <w:r w:rsidRPr="00030D66">
        <w:rPr>
          <w:rFonts w:eastAsia="TimesNewRomanPSMT" w:cs="TimesNewRomanPSMT"/>
          <w:szCs w:val="30"/>
        </w:rPr>
        <w:t>(11th ed.). Belmont, CA: Wadsworth/Thomson.</w:t>
      </w:r>
      <w:r>
        <w:rPr>
          <w:rFonts w:eastAsia="TimesNewRomanPSMT" w:cs="TimesNewRomanPSMT"/>
          <w:szCs w:val="30"/>
        </w:rPr>
        <w:t xml:space="preserve"> </w:t>
      </w:r>
      <w:r w:rsidRPr="00030D66">
        <w:rPr>
          <w:rFonts w:eastAsia="TimesNewRomanPSMT" w:cs="TimesNewRomanPSMT"/>
          <w:szCs w:val="30"/>
        </w:rPr>
        <w:t>2007</w:t>
      </w:r>
    </w:p>
    <w:p w:rsidR="00FA7429" w:rsidRDefault="00FA7429" w:rsidP="00FA7429">
      <w:pPr>
        <w:pStyle w:val="references"/>
        <w:numPr>
          <w:ilvl w:val="0"/>
          <w:numId w:val="0"/>
        </w:numPr>
        <w:jc w:val="left"/>
        <w:rPr>
          <w:rFonts w:cs="BookmanOldStyle-Italic"/>
          <w:iCs/>
          <w:sz w:val="20"/>
          <w:szCs w:val="44"/>
        </w:rPr>
      </w:pPr>
    </w:p>
    <w:p w:rsidR="00FA7429" w:rsidRDefault="00FA7429" w:rsidP="00FA7429">
      <w:pPr>
        <w:pStyle w:val="references"/>
        <w:numPr>
          <w:ilvl w:val="0"/>
          <w:numId w:val="0"/>
        </w:numPr>
        <w:jc w:val="left"/>
        <w:rPr>
          <w:rFonts w:cs="BookmanOldStyle-Italic"/>
          <w:iCs/>
          <w:sz w:val="20"/>
          <w:szCs w:val="44"/>
        </w:rPr>
      </w:pPr>
      <w:r>
        <w:rPr>
          <w:rFonts w:cs="BookmanOldStyle-Italic"/>
          <w:iCs/>
          <w:sz w:val="20"/>
          <w:szCs w:val="44"/>
        </w:rPr>
        <w:t xml:space="preserve">[15] Website </w:t>
      </w:r>
      <w:hyperlink r:id="rId14" w:history="1">
        <w:r w:rsidRPr="00AC6CD9">
          <w:rPr>
            <w:rStyle w:val="Hyperlink"/>
          </w:rPr>
          <w:t>https://kupang.tribunnews.com/2014/08/24/penerapan-</w:t>
        </w:r>
        <w:r w:rsidRPr="00AC6CD9">
          <w:rPr>
            <w:rStyle w:val="Hyperlink"/>
          </w:rPr>
          <w:t>kurikulum-2013-guru-dan-pengawas-mengeluh-belum-ada-buku</w:t>
        </w:r>
      </w:hyperlink>
    </w:p>
    <w:p w:rsidR="00FA7429" w:rsidRDefault="00FA7429" w:rsidP="00FA7429">
      <w:pPr>
        <w:jc w:val="left"/>
        <w:rPr>
          <w:rFonts w:cs="BookmanOldStyle-Italic"/>
          <w:iCs/>
          <w:szCs w:val="44"/>
        </w:rPr>
      </w:pPr>
    </w:p>
    <w:p w:rsidR="00D15DB7" w:rsidRPr="00873CFF" w:rsidRDefault="00FA7429" w:rsidP="00FA7429">
      <w:pPr>
        <w:jc w:val="left"/>
        <w:rPr>
          <w:rFonts w:eastAsia="MS Mincho"/>
        </w:rPr>
        <w:sectPr w:rsidR="00D15DB7" w:rsidRPr="00873CFF" w:rsidSect="004445B3">
          <w:type w:val="continuous"/>
          <w:pgSz w:w="11909" w:h="16834" w:code="9"/>
          <w:pgMar w:top="1080" w:right="734" w:bottom="2434" w:left="734" w:header="720" w:footer="720" w:gutter="0"/>
          <w:cols w:num="2" w:space="360"/>
          <w:docGrid w:linePitch="360"/>
        </w:sectPr>
      </w:pPr>
      <w:r>
        <w:rPr>
          <w:rFonts w:cs="BookmanOldStyle-Italic"/>
          <w:iCs/>
          <w:szCs w:val="44"/>
        </w:rPr>
        <w:t xml:space="preserve">[16]Website </w:t>
      </w:r>
      <w:hyperlink r:id="rId15" w:history="1">
        <w:r w:rsidRPr="00AC6CD9">
          <w:rPr>
            <w:rStyle w:val="Hyperlink"/>
            <w:rFonts w:eastAsia="MS Mincho"/>
          </w:rPr>
          <w:t>https://www.merdeka.com/peristiwa/meski-sudah-dilatih-banyak-guru-belum-paham-kurikulum-2013.html</w:t>
        </w:r>
      </w:hyperlink>
      <w:r w:rsidRPr="00873CFF">
        <w:rPr>
          <w:rFonts w:eastAsia="MS Mincho"/>
        </w:rPr>
        <w:t xml:space="preserve"> </w:t>
      </w:r>
    </w:p>
    <w:p w:rsidR="008A55B5" w:rsidRPr="00873CFF" w:rsidRDefault="008A55B5" w:rsidP="004901BB">
      <w:pPr>
        <w:ind w:firstLine="426"/>
        <w:jc w:val="both"/>
      </w:pPr>
    </w:p>
    <w:sectPr w:rsidR="008A55B5" w:rsidRPr="00873CFF"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4A" w:rsidRDefault="0077094A" w:rsidP="002267EC">
      <w:r>
        <w:separator/>
      </w:r>
    </w:p>
  </w:endnote>
  <w:endnote w:type="continuationSeparator" w:id="0">
    <w:p w:rsidR="0077094A" w:rsidRDefault="0077094A" w:rsidP="0022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4A" w:rsidRDefault="0077094A" w:rsidP="002267EC">
      <w:r>
        <w:separator/>
      </w:r>
    </w:p>
  </w:footnote>
  <w:footnote w:type="continuationSeparator" w:id="0">
    <w:p w:rsidR="0077094A" w:rsidRDefault="0077094A" w:rsidP="00226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9A6"/>
    <w:rsid w:val="000220BD"/>
    <w:rsid w:val="000376DB"/>
    <w:rsid w:val="0004390D"/>
    <w:rsid w:val="000557DD"/>
    <w:rsid w:val="000A1987"/>
    <w:rsid w:val="000A4A88"/>
    <w:rsid w:val="000B4641"/>
    <w:rsid w:val="000D0BD7"/>
    <w:rsid w:val="000E08FD"/>
    <w:rsid w:val="00104205"/>
    <w:rsid w:val="0010711E"/>
    <w:rsid w:val="00116F3B"/>
    <w:rsid w:val="00127EDD"/>
    <w:rsid w:val="00135A47"/>
    <w:rsid w:val="001438D5"/>
    <w:rsid w:val="001651B6"/>
    <w:rsid w:val="00167871"/>
    <w:rsid w:val="00175F17"/>
    <w:rsid w:val="00191C78"/>
    <w:rsid w:val="001B72CC"/>
    <w:rsid w:val="001C6746"/>
    <w:rsid w:val="001D561F"/>
    <w:rsid w:val="001D71ED"/>
    <w:rsid w:val="001E0F74"/>
    <w:rsid w:val="00211916"/>
    <w:rsid w:val="002267EC"/>
    <w:rsid w:val="00231018"/>
    <w:rsid w:val="002704C2"/>
    <w:rsid w:val="00270559"/>
    <w:rsid w:val="002707CB"/>
    <w:rsid w:val="002727B5"/>
    <w:rsid w:val="00276735"/>
    <w:rsid w:val="00283C19"/>
    <w:rsid w:val="002864A3"/>
    <w:rsid w:val="002B3B81"/>
    <w:rsid w:val="002E4E79"/>
    <w:rsid w:val="002F0B49"/>
    <w:rsid w:val="003108D9"/>
    <w:rsid w:val="00313419"/>
    <w:rsid w:val="00325FA1"/>
    <w:rsid w:val="00381820"/>
    <w:rsid w:val="00394579"/>
    <w:rsid w:val="0039488B"/>
    <w:rsid w:val="003A47B5"/>
    <w:rsid w:val="003A59A6"/>
    <w:rsid w:val="003A7490"/>
    <w:rsid w:val="003B1BCE"/>
    <w:rsid w:val="003C7A2E"/>
    <w:rsid w:val="003D1BA5"/>
    <w:rsid w:val="003E6434"/>
    <w:rsid w:val="004059FE"/>
    <w:rsid w:val="004264ED"/>
    <w:rsid w:val="004352EF"/>
    <w:rsid w:val="004445B3"/>
    <w:rsid w:val="00445774"/>
    <w:rsid w:val="00445974"/>
    <w:rsid w:val="00445A75"/>
    <w:rsid w:val="004544A1"/>
    <w:rsid w:val="00455C2D"/>
    <w:rsid w:val="004570A2"/>
    <w:rsid w:val="00467716"/>
    <w:rsid w:val="004774CC"/>
    <w:rsid w:val="004836F3"/>
    <w:rsid w:val="004901BB"/>
    <w:rsid w:val="00497648"/>
    <w:rsid w:val="004D412D"/>
    <w:rsid w:val="004F1398"/>
    <w:rsid w:val="00504595"/>
    <w:rsid w:val="00522274"/>
    <w:rsid w:val="00544184"/>
    <w:rsid w:val="005B520E"/>
    <w:rsid w:val="005B535B"/>
    <w:rsid w:val="005B7E59"/>
    <w:rsid w:val="005F0F00"/>
    <w:rsid w:val="006108A4"/>
    <w:rsid w:val="0061213C"/>
    <w:rsid w:val="006215D9"/>
    <w:rsid w:val="00634A64"/>
    <w:rsid w:val="00651B9E"/>
    <w:rsid w:val="00653950"/>
    <w:rsid w:val="0065684E"/>
    <w:rsid w:val="00656BED"/>
    <w:rsid w:val="00677FD3"/>
    <w:rsid w:val="00681223"/>
    <w:rsid w:val="006902F7"/>
    <w:rsid w:val="006B60CE"/>
    <w:rsid w:val="006B64B8"/>
    <w:rsid w:val="006B7A0F"/>
    <w:rsid w:val="006C188F"/>
    <w:rsid w:val="006C4648"/>
    <w:rsid w:val="006C79EC"/>
    <w:rsid w:val="006D6C03"/>
    <w:rsid w:val="006D7F2B"/>
    <w:rsid w:val="00702944"/>
    <w:rsid w:val="007111C0"/>
    <w:rsid w:val="0072064C"/>
    <w:rsid w:val="00734D57"/>
    <w:rsid w:val="00735051"/>
    <w:rsid w:val="007442B3"/>
    <w:rsid w:val="00753F7B"/>
    <w:rsid w:val="0076208A"/>
    <w:rsid w:val="0077094A"/>
    <w:rsid w:val="0078398E"/>
    <w:rsid w:val="00787C5A"/>
    <w:rsid w:val="007919DE"/>
    <w:rsid w:val="007C0308"/>
    <w:rsid w:val="007D00DF"/>
    <w:rsid w:val="007F021F"/>
    <w:rsid w:val="007F3428"/>
    <w:rsid w:val="007F618C"/>
    <w:rsid w:val="008014D2"/>
    <w:rsid w:val="008054BC"/>
    <w:rsid w:val="00822173"/>
    <w:rsid w:val="00827E9E"/>
    <w:rsid w:val="008415E6"/>
    <w:rsid w:val="008455E1"/>
    <w:rsid w:val="00873CFF"/>
    <w:rsid w:val="00886116"/>
    <w:rsid w:val="0089255A"/>
    <w:rsid w:val="008A55B5"/>
    <w:rsid w:val="008A75C8"/>
    <w:rsid w:val="008C33DD"/>
    <w:rsid w:val="00914DC6"/>
    <w:rsid w:val="00933ACB"/>
    <w:rsid w:val="00953213"/>
    <w:rsid w:val="00953EA0"/>
    <w:rsid w:val="00965562"/>
    <w:rsid w:val="00974F69"/>
    <w:rsid w:val="0097508D"/>
    <w:rsid w:val="00984545"/>
    <w:rsid w:val="00994C45"/>
    <w:rsid w:val="0099774B"/>
    <w:rsid w:val="009C13AE"/>
    <w:rsid w:val="009D2A22"/>
    <w:rsid w:val="009E1DAA"/>
    <w:rsid w:val="009F2F67"/>
    <w:rsid w:val="00A1205C"/>
    <w:rsid w:val="00A510F7"/>
    <w:rsid w:val="00A54E31"/>
    <w:rsid w:val="00AB6185"/>
    <w:rsid w:val="00AC6519"/>
    <w:rsid w:val="00AE2990"/>
    <w:rsid w:val="00B418AD"/>
    <w:rsid w:val="00B5292D"/>
    <w:rsid w:val="00B6191A"/>
    <w:rsid w:val="00B8430B"/>
    <w:rsid w:val="00BA1ACC"/>
    <w:rsid w:val="00BA41BC"/>
    <w:rsid w:val="00BD2FFC"/>
    <w:rsid w:val="00BE648A"/>
    <w:rsid w:val="00C3217D"/>
    <w:rsid w:val="00C35924"/>
    <w:rsid w:val="00C47611"/>
    <w:rsid w:val="00C55C77"/>
    <w:rsid w:val="00C60622"/>
    <w:rsid w:val="00C76979"/>
    <w:rsid w:val="00C8251F"/>
    <w:rsid w:val="00C837D9"/>
    <w:rsid w:val="00C8675B"/>
    <w:rsid w:val="00C974C7"/>
    <w:rsid w:val="00C97E10"/>
    <w:rsid w:val="00CB1404"/>
    <w:rsid w:val="00CB66E6"/>
    <w:rsid w:val="00CD3455"/>
    <w:rsid w:val="00CE2132"/>
    <w:rsid w:val="00CF6388"/>
    <w:rsid w:val="00D01E27"/>
    <w:rsid w:val="00D03509"/>
    <w:rsid w:val="00D15DB7"/>
    <w:rsid w:val="00D57F38"/>
    <w:rsid w:val="00D72D73"/>
    <w:rsid w:val="00D9156D"/>
    <w:rsid w:val="00DA646B"/>
    <w:rsid w:val="00DE1114"/>
    <w:rsid w:val="00E43B50"/>
    <w:rsid w:val="00E52C73"/>
    <w:rsid w:val="00E80424"/>
    <w:rsid w:val="00E91219"/>
    <w:rsid w:val="00E918C3"/>
    <w:rsid w:val="00EA506F"/>
    <w:rsid w:val="00EB1A34"/>
    <w:rsid w:val="00EE4362"/>
    <w:rsid w:val="00EE6EA4"/>
    <w:rsid w:val="00EF18D7"/>
    <w:rsid w:val="00EF1E8A"/>
    <w:rsid w:val="00EF3A1A"/>
    <w:rsid w:val="00F112CB"/>
    <w:rsid w:val="00F32307"/>
    <w:rsid w:val="00F4230C"/>
    <w:rsid w:val="00F61A18"/>
    <w:rsid w:val="00F73FDD"/>
    <w:rsid w:val="00F95059"/>
    <w:rsid w:val="00FA7429"/>
    <w:rsid w:val="00FB53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lang/>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lang/>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lang/>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lang/>
    </w:rPr>
  </w:style>
  <w:style w:type="paragraph" w:styleId="Heading5">
    <w:name w:val="heading 5"/>
    <w:basedOn w:val="Normal"/>
    <w:next w:val="Normal"/>
    <w:link w:val="Heading5Char"/>
    <w:uiPriority w:val="9"/>
    <w:qFormat/>
    <w:rsid w:val="009F2F67"/>
    <w:pPr>
      <w:tabs>
        <w:tab w:val="left" w:pos="360"/>
      </w:tabs>
      <w:spacing w:before="160" w:after="8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9F2F67"/>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9F2F67"/>
    <w:pPr>
      <w:jc w:val="center"/>
    </w:pPr>
    <w:rPr>
      <w:rFonts w:ascii="Times New Roman" w:hAnsi="Times New Roman"/>
    </w:rPr>
  </w:style>
  <w:style w:type="paragraph" w:customStyle="1" w:styleId="Author">
    <w:name w:val="Author"/>
    <w:uiPriority w:val="99"/>
    <w:rsid w:val="009F2F67"/>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9F2F67"/>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9F2F67"/>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9F2F67"/>
    <w:rPr>
      <w:b/>
      <w:bCs/>
      <w:sz w:val="16"/>
      <w:szCs w:val="16"/>
    </w:rPr>
  </w:style>
  <w:style w:type="paragraph" w:customStyle="1" w:styleId="tablecolsubhead">
    <w:name w:val="table col subhead"/>
    <w:basedOn w:val="tablecolhead"/>
    <w:uiPriority w:val="99"/>
    <w:rsid w:val="009F2F67"/>
    <w:rPr>
      <w:i/>
      <w:iCs/>
      <w:sz w:val="15"/>
      <w:szCs w:val="15"/>
    </w:rPr>
  </w:style>
  <w:style w:type="paragraph" w:customStyle="1" w:styleId="tablecopy">
    <w:name w:val="table copy"/>
    <w:uiPriority w:val="99"/>
    <w:rsid w:val="009F2F67"/>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9F2F67"/>
    <w:pPr>
      <w:numPr>
        <w:numId w:val="9"/>
      </w:numPr>
      <w:spacing w:before="240" w:after="120" w:line="216" w:lineRule="auto"/>
      <w:jc w:val="center"/>
    </w:pPr>
    <w:rPr>
      <w:rFonts w:ascii="Times New Roman" w:hAnsi="Times New Roman"/>
      <w:smallCaps/>
      <w:noProof/>
      <w:sz w:val="16"/>
      <w:szCs w:val="16"/>
    </w:rPr>
  </w:style>
  <w:style w:type="paragraph" w:styleId="EndnoteText">
    <w:name w:val="endnote text"/>
    <w:basedOn w:val="Normal"/>
    <w:link w:val="EndnoteTextChar"/>
    <w:uiPriority w:val="99"/>
    <w:semiHidden/>
    <w:unhideWhenUsed/>
    <w:rsid w:val="002267EC"/>
  </w:style>
  <w:style w:type="character" w:customStyle="1" w:styleId="EndnoteTextChar">
    <w:name w:val="Endnote Text Char"/>
    <w:basedOn w:val="DefaultParagraphFont"/>
    <w:link w:val="EndnoteText"/>
    <w:uiPriority w:val="99"/>
    <w:semiHidden/>
    <w:rsid w:val="002267EC"/>
    <w:rPr>
      <w:rFonts w:ascii="Times New Roman" w:hAnsi="Times New Roman"/>
    </w:rPr>
  </w:style>
  <w:style w:type="character" w:styleId="EndnoteReference">
    <w:name w:val="endnote reference"/>
    <w:basedOn w:val="DefaultParagraphFont"/>
    <w:uiPriority w:val="99"/>
    <w:semiHidden/>
    <w:unhideWhenUsed/>
    <w:rsid w:val="002267EC"/>
    <w:rPr>
      <w:vertAlign w:val="superscript"/>
    </w:rPr>
  </w:style>
  <w:style w:type="character" w:styleId="Hyperlink">
    <w:name w:val="Hyperlink"/>
    <w:basedOn w:val="DefaultParagraphFont"/>
    <w:uiPriority w:val="99"/>
    <w:unhideWhenUsed/>
    <w:rsid w:val="00974F69"/>
    <w:rPr>
      <w:color w:val="0000FF"/>
      <w:u w:val="single"/>
    </w:rPr>
  </w:style>
  <w:style w:type="paragraph" w:styleId="HTMLPreformatted">
    <w:name w:val="HTML Preformatted"/>
    <w:basedOn w:val="Normal"/>
    <w:link w:val="HTMLPreformattedChar"/>
    <w:uiPriority w:val="99"/>
    <w:unhideWhenUsed/>
    <w:rsid w:val="0049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4901BB"/>
    <w:rPr>
      <w:rFonts w:ascii="Courier New" w:hAnsi="Courier New" w:cs="Courier New"/>
    </w:rPr>
  </w:style>
  <w:style w:type="paragraph" w:styleId="BalloonText">
    <w:name w:val="Balloon Text"/>
    <w:basedOn w:val="Normal"/>
    <w:link w:val="BalloonTextChar"/>
    <w:uiPriority w:val="99"/>
    <w:semiHidden/>
    <w:unhideWhenUsed/>
    <w:rsid w:val="00EE6EA4"/>
    <w:rPr>
      <w:rFonts w:ascii="Tahoma" w:hAnsi="Tahoma" w:cs="Tahoma"/>
      <w:sz w:val="16"/>
      <w:szCs w:val="16"/>
    </w:rPr>
  </w:style>
  <w:style w:type="character" w:customStyle="1" w:styleId="BalloonTextChar">
    <w:name w:val="Balloon Text Char"/>
    <w:basedOn w:val="DefaultParagraphFont"/>
    <w:link w:val="BalloonText"/>
    <w:uiPriority w:val="99"/>
    <w:semiHidden/>
    <w:rsid w:val="00EE6EA4"/>
    <w:rPr>
      <w:rFonts w:ascii="Tahoma" w:hAnsi="Tahoma" w:cs="Tahoma"/>
      <w:sz w:val="16"/>
      <w:szCs w:val="16"/>
    </w:rPr>
  </w:style>
  <w:style w:type="table" w:styleId="TableGrid">
    <w:name w:val="Table Grid"/>
    <w:basedOn w:val="TableNormal"/>
    <w:uiPriority w:val="59"/>
    <w:unhideWhenUsed/>
    <w:rsid w:val="00454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
    <w:name w:val="subtitle"/>
    <w:basedOn w:val="DefaultParagraphFont"/>
    <w:rsid w:val="00FA7429"/>
  </w:style>
  <w:style w:type="paragraph" w:customStyle="1" w:styleId="Default">
    <w:name w:val="Default"/>
    <w:rsid w:val="00FA7429"/>
    <w:pPr>
      <w:autoSpaceDE w:val="0"/>
      <w:autoSpaceDN w:val="0"/>
      <w:adjustRightInd w:val="0"/>
    </w:pPr>
    <w:rPr>
      <w:rFonts w:ascii="Book Antiqua" w:eastAsia="Calibri" w:hAnsi="Book Antiqua" w:cs="Book Antiqua"/>
      <w:color w:val="000000"/>
      <w:sz w:val="24"/>
      <w:szCs w:val="24"/>
    </w:rPr>
  </w:style>
  <w:style w:type="character" w:customStyle="1" w:styleId="A3">
    <w:name w:val="A3"/>
    <w:uiPriority w:val="99"/>
    <w:rsid w:val="00FA7429"/>
    <w:rPr>
      <w:rFonts w:cs="Book Antiqua"/>
      <w:b/>
      <w:bCs/>
      <w:color w:val="000000"/>
      <w:sz w:val="36"/>
      <w:szCs w:val="36"/>
    </w:rPr>
  </w:style>
  <w:style w:type="character" w:customStyle="1" w:styleId="A8">
    <w:name w:val="A8"/>
    <w:uiPriority w:val="99"/>
    <w:rsid w:val="00FA7429"/>
    <w:rPr>
      <w:rFonts w:cs="Book Antiqua"/>
      <w:color w:val="000000"/>
      <w:sz w:val="18"/>
      <w:szCs w:val="18"/>
    </w:rPr>
  </w:style>
  <w:style w:type="character" w:styleId="FollowedHyperlink">
    <w:name w:val="FollowedHyperlink"/>
    <w:basedOn w:val="DefaultParagraphFont"/>
    <w:uiPriority w:val="99"/>
    <w:semiHidden/>
    <w:unhideWhenUsed/>
    <w:rsid w:val="00FA7429"/>
    <w:rPr>
      <w:color w:val="800080"/>
      <w:u w:val="single"/>
    </w:rPr>
  </w:style>
</w:styles>
</file>

<file path=word/webSettings.xml><?xml version="1.0" encoding="utf-8"?>
<w:webSettings xmlns:r="http://schemas.openxmlformats.org/officeDocument/2006/relationships" xmlns:w="http://schemas.openxmlformats.org/wordprocessingml/2006/main">
  <w:divs>
    <w:div w:id="324088342">
      <w:bodyDiv w:val="1"/>
      <w:marLeft w:val="0"/>
      <w:marRight w:val="0"/>
      <w:marTop w:val="0"/>
      <w:marBottom w:val="0"/>
      <w:divBdr>
        <w:top w:val="none" w:sz="0" w:space="0" w:color="auto"/>
        <w:left w:val="none" w:sz="0" w:space="0" w:color="auto"/>
        <w:bottom w:val="none" w:sz="0" w:space="0" w:color="auto"/>
        <w:right w:val="none" w:sz="0" w:space="0" w:color="auto"/>
      </w:divBdr>
      <w:divsChild>
        <w:div w:id="19538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mullah@unsyiah.ac.id" TargetMode="External"/><Relationship Id="rId13" Type="http://schemas.openxmlformats.org/officeDocument/2006/relationships/hyperlink" Target="https://sophia.stkate.edu/maed/137" TargetMode="External"/><Relationship Id="rId3" Type="http://schemas.openxmlformats.org/officeDocument/2006/relationships/settings" Target="settings.xml"/><Relationship Id="rId7" Type="http://schemas.openxmlformats.org/officeDocument/2006/relationships/hyperlink" Target="mailto:profcut@unsyiah.ac.id" TargetMode="External"/><Relationship Id="rId12" Type="http://schemas.openxmlformats.org/officeDocument/2006/relationships/hyperlink" Target="https://www.gov.uk/government/speeches/education-secretary-sets-out-five-foundations-to-build-charac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merdeka.com/peristiwa/meski-sudah-dilatih-banyak-guru-belum-paham-kurikulum-2013.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kupang.tribunnews.com/2014/08/24/penerapan-kurikulum-2013-guru-dan-pengawas-mengeluh-belum-ada-bu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6</Pages>
  <Words>4565</Words>
  <Characters>26023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cp:lastModifiedBy>
  <cp:revision>54</cp:revision>
  <dcterms:created xsi:type="dcterms:W3CDTF">2019-09-06T06:01:00Z</dcterms:created>
  <dcterms:modified xsi:type="dcterms:W3CDTF">2019-09-11T06:31:00Z</dcterms:modified>
</cp:coreProperties>
</file>